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875—93.7</w:t>
      </w:r>
      <w:r>
        <w:rPr>
          <w:rFonts w:ascii="Times New Roman" w:hAnsi="Times New Roman"/>
          <w:b/>
          <w:i w:val="false"/>
          <w:color w:val="000000"/>
          <w:sz w:val="22"/>
        </w:rPr>
        <w:t xml:space="preserve">(89) </w:t>
      </w:r>
      <w:r>
        <w:rPr>
          <w:rFonts w:ascii="Times New Roman" w:hAnsi="Times New Roman"/>
          <w:b/>
          <w:i w:val="false"/>
          <w:color w:val="000000"/>
          <w:sz w:val="22"/>
        </w:rPr>
        <w:t xml:space="preserve">Feedwater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val="false"/>
          <w:color w:val="000000"/>
          <w:sz w:val="22"/>
        </w:rPr>
        <w:t>Except for miniature power boilers operating without the extraction of steam, miniature power boilers shall be provided with at least one feed pump or other feeding device unless the boiler feed line is connected to a water main carrying sufficient pressure to feed the boiler. In the latter case, in lieu of a feeding device, a suitable connection or opening shall be provided to fill the boiler when cold. Such connection shall be no less than ½-inch pipe size for iron or steel pipe and ¼ inch for brass or copper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val="false"/>
          <w:color w:val="000000"/>
          <w:sz w:val="22"/>
        </w:rPr>
        <w:t>The feed pipe shall be provided with a check valve and a stop valve of a size not less than that of the pipe. The feed water may be delivered through the blowoff opening if desired.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