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875—93.10</w:t>
      </w:r>
      <w:r>
        <w:rPr>
          <w:rFonts w:ascii="Times New Roman" w:hAnsi="Times New Roman"/>
          <w:b/>
          <w:i w:val="false"/>
          <w:color w:val="000000"/>
          <w:sz w:val="22"/>
        </w:rPr>
        <w:t xml:space="preserve">(89) </w:t>
      </w:r>
      <w:r>
        <w:rPr>
          <w:rFonts w:ascii="Times New Roman" w:hAnsi="Times New Roman"/>
          <w:b/>
          <w:i w:val="false"/>
          <w:color w:val="000000"/>
          <w:sz w:val="22"/>
        </w:rPr>
        <w:t xml:space="preserve">Fixtures and fittings. </w:t>
      </w:r>
      <w:r>
        <w:rPr>
          <w:rFonts w:ascii="Times New Roman" w:hAnsi="Times New Roman"/>
          <w:b w:val="false"/>
          <w:i w:val="false"/>
          <w:color w:val="000000"/>
          <w:sz w:val="22"/>
        </w:rPr>
        <w:t>All valves, pipe fittings, and appliances connected to a miniature power boiler shall be equal to at least the minimal requirements of the construction or installation code and shall be rated for not less than the maximum allowable working pressure of the miniature power boiler. In no case shall the rating be for less than 125 pounds.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