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Repairs and alterations to unfired steam pressure vessels.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single repair of an unfired steam pressure vessel shall involve replacement of more than 50 percent of the OEM’s pressure-retaining boundary.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