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875—91.6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(89)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Pipe, valve, and fitting requirements.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>Pipes, valves, and fittings subject to the effects of galvanic action shall not be used on objects covered by these rules. Dielectric fittings shall be used where dissimilar metals are joined.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8283B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11/18/09, effective 1/1/10</w:t>
      </w:r>
      <w:r>
        <w:rPr>
          <w:rFonts w:ascii="Times New Roman" w:hAnsi="Times New Roman"/>
          <w:b w:val="false"/>
          <w:i w:val="false"/>
          <w:color w:val="000000"/>
          <w:sz w:val="16"/>
        </w:rPr>
        <w:t xml:space="preserve">; </w:t>
      </w:r>
      <w:r>
        <w:rPr>
          <w:rFonts w:ascii="Times New Roman" w:hAnsi="Times New Roman"/>
          <w:b/>
          <w:i w:val="false"/>
          <w:color w:val="000000"/>
          <w:sz w:val="16"/>
        </w:rPr>
        <w:t>ARC 3903C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7/18/18, effective 9/1/18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