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875—91.4</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equipment. </w:t>
      </w:r>
      <w:r>
        <w:rPr>
          <w:rFonts w:ascii="Times New Roman" w:hAnsi="Times New Roman"/>
          <w:b w:val="false"/>
          <w:i w:val="false"/>
          <w:color w:val="000000"/>
          <w:sz w:val="22"/>
        </w:rPr>
        <w:t>The blowdown from an object that enters a sanitary sewer system or blowdown that is considered a hazard to life or property shall pass through blowoff equipment that will reduce pressure and temperature. The temperature of the water leaving the blowoff equipment shall not exceed 150 degrees Fahrenheit. If the local jurisdiction has a temperature limit of less than 150 degrees Fahrenheit, the temperature of the water leaving the blowoff equipment shall comply with the limit set by the local jurisdiction. The pressure of the water leaving the blowoff equipment shall not exceed 5 psig. The blowoff piping and fittings between the object and the blowoff tank shall comply with the construction or installation code. All materials used in the fabrication of object blowoff equipment shall comply with the construction or installation code. All blowoff equipment shall be equipped with openings to facilitate cleaning and inspection.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