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ASME stamp.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objects shall bear the appropriate ASME stamp. Objects shall not be utilized in a manner inconsistent with the stamp.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7/18/18, effective 9/1/18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