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875—91.17</w:t>
      </w:r>
      <w:r>
        <w:rPr>
          <w:rFonts w:ascii="Times New Roman" w:hAnsi="Times New Roman"/>
          <w:b/>
          <w:i w:val="false"/>
          <w:color w:val="000000"/>
          <w:sz w:val="22"/>
        </w:rPr>
        <w:t xml:space="preserve">(89) </w:t>
      </w:r>
      <w:r>
        <w:rPr>
          <w:rFonts w:ascii="Times New Roman" w:hAnsi="Times New Roman"/>
          <w:b/>
          <w:i w:val="false"/>
          <w:color w:val="000000"/>
          <w:sz w:val="22"/>
        </w:rPr>
        <w:t xml:space="preserve">English language and U.S. customary units required. </w:t>
      </w:r>
      <w:r>
        <w:rPr>
          <w:rFonts w:ascii="Times New Roman" w:hAnsi="Times New Roman"/>
          <w:b w:val="false"/>
          <w:i w:val="false"/>
          <w:color w:val="000000"/>
          <w:sz w:val="22"/>
        </w:rPr>
        <w:t>All documentation supplied for the unit including but not limited to the manufacturers’ data report, drawings, parts lists, installation manuals, and operating manuals shall be in English, and all measurements shall be in U.S. customary units. All pressure gages, thermometers and other controls and safety devices shall also be in U.S. customary units.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