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875—91.13</w:t>
      </w:r>
      <w:r>
        <w:rPr>
          <w:rFonts w:ascii="Times New Roman" w:hAnsi="Times New Roman"/>
          <w:b/>
          <w:i w:val="false"/>
          <w:color w:val="000000"/>
          <w:sz w:val="22"/>
        </w:rPr>
        <w:t xml:space="preserve">(89) </w:t>
      </w:r>
      <w:r>
        <w:rPr>
          <w:rFonts w:ascii="Times New Roman" w:hAnsi="Times New Roman"/>
          <w:b/>
          <w:i w:val="false"/>
          <w:color w:val="000000"/>
          <w:sz w:val="22"/>
        </w:rPr>
        <w:t xml:space="preserve">Air and ventilation.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91.13(1)</w:t>
      </w:r>
      <w:r>
        <w:rPr>
          <w:rFonts w:ascii="Times New Roman" w:hAnsi="Times New Roman"/>
          <w:b w:val="false"/>
          <w:i w:val="false"/>
          <w:color w:val="000000"/>
          <w:sz w:val="22"/>
        </w:rPr>
        <w:t> </w:t>
      </w:r>
      <w:r>
        <w:rPr>
          <w:rFonts w:ascii="Times New Roman" w:hAnsi="Times New Roman"/>
          <w:b w:val="false"/>
          <w:i/>
          <w:color w:val="000000"/>
          <w:sz w:val="22"/>
        </w:rPr>
        <w:t xml:space="preserve">Notice concerning other rules. </w:t>
      </w:r>
      <w:r>
        <w:rPr>
          <w:rFonts w:ascii="Times New Roman" w:hAnsi="Times New Roman"/>
          <w:b w:val="false"/>
          <w:i w:val="false"/>
          <w:color w:val="000000"/>
          <w:sz w:val="22"/>
        </w:rPr>
        <w:t>The division and the Iowa department of public safety both enforce requirements concerning air and ventilation. Objects that are covered by both sets of rules must comply with both sets of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Documentation of compliance with any requirement of this rule shall be maintained in the boiler room. However, it is not necessary to maintain documentation of the louvered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91.13(3)</w:t>
      </w:r>
      <w:r>
        <w:rPr>
          <w:rFonts w:ascii="Times New Roman" w:hAnsi="Times New Roman"/>
          <w:b w:val="false"/>
          <w:i w:val="false"/>
          <w:color w:val="000000"/>
          <w:sz w:val="22"/>
        </w:rPr>
        <w:t> </w:t>
      </w:r>
      <w:r>
        <w:rPr>
          <w:rFonts w:ascii="Times New Roman" w:hAnsi="Times New Roman"/>
          <w:b w:val="false"/>
          <w:i/>
          <w:color w:val="000000"/>
          <w:sz w:val="22"/>
        </w:rPr>
        <w:t xml:space="preserve">National combustion air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Installations. </w:t>
      </w:r>
      <w:r>
        <w:rPr>
          <w:rFonts w:ascii="Times New Roman" w:hAnsi="Times New Roman"/>
          <w:b w:val="false"/>
          <w:i w:val="false"/>
          <w:color w:val="000000"/>
          <w:sz w:val="22"/>
        </w:rPr>
        <w:t xml:space="preserve">Installations shall comply with the edition of NFPA 31, NFPA 54, NFPA 58, NFPA 85, or IMC currently adopted at rule </w:t>
      </w:r>
      <w:hyperlink r:id="rId4">
        <w:r>
          <w:rPr>
            <w:rStyle w:val="Hyperlink"/>
            <w:rFonts w:ascii="Times New Roman" w:hAnsi="Times New Roman"/>
            <w:b w:val="false"/>
            <w:i w:val="false"/>
            <w:color w:val="000000"/>
            <w:sz w:val="22"/>
          </w:rPr>
          <w:t>875—91.1</w:t>
        </w:r>
      </w:hyperlink>
      <w:r>
        <w:rPr>
          <w:rFonts w:ascii="Times New Roman" w:hAnsi="Times New Roman"/>
          <w:b w:val="false"/>
          <w:i w:val="false"/>
          <w:color w:val="000000"/>
          <w:sz w:val="22"/>
        </w:rPr>
        <w:t xml:space="preserve">(89) or with the Iowa combustion air standard in subrule </w:t>
      </w:r>
      <w:hyperlink r:id="rId5">
        <w:r>
          <w:rPr>
            <w:rStyle w:val="Hyperlink"/>
            <w:rFonts w:ascii="Times New Roman" w:hAnsi="Times New Roman"/>
            <w:b w:val="false"/>
            <w:i w:val="false"/>
            <w:color w:val="000000"/>
            <w:sz w:val="22"/>
          </w:rPr>
          <w:t>91.13(4)</w:t>
        </w:r>
      </w:hyperlink>
      <w:r>
        <w:rPr>
          <w:rFonts w:ascii="Times New Roman" w:hAnsi="Times New Roman"/>
          <w:b w:val="false"/>
          <w:i w:val="false"/>
          <w:color w:val="000000"/>
          <w:sz w:val="22"/>
        </w:rPr>
        <w:t>. However, compliance with one of the listed NFPA codes constitutes compliance with this rule only if the object burns the fuel covered by the NFPA.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Existing objects. </w:t>
      </w:r>
      <w:r>
        <w:rPr>
          <w:rFonts w:ascii="Times New Roman" w:hAnsi="Times New Roman"/>
          <w:b w:val="false"/>
          <w:i w:val="false"/>
          <w:color w:val="000000"/>
          <w:sz w:val="22"/>
        </w:rPr>
        <w:t xml:space="preserve">An adequate supply of combustion air shall be maintained for all objects while in operation. Compliance with the current edition of NFPA 31, NFPA 54, NFPA 58, NFPA 85, or IMC as adopted at rule </w:t>
      </w:r>
      <w:hyperlink r:id="rId6">
        <w:r>
          <w:rPr>
            <w:rStyle w:val="Hyperlink"/>
            <w:rFonts w:ascii="Times New Roman" w:hAnsi="Times New Roman"/>
            <w:b w:val="false"/>
            <w:i w:val="false"/>
            <w:color w:val="000000"/>
            <w:sz w:val="22"/>
          </w:rPr>
          <w:t>875—91.1</w:t>
        </w:r>
      </w:hyperlink>
      <w:r>
        <w:rPr>
          <w:rFonts w:ascii="Times New Roman" w:hAnsi="Times New Roman"/>
          <w:b w:val="false"/>
          <w:i w:val="false"/>
          <w:color w:val="000000"/>
          <w:sz w:val="22"/>
        </w:rPr>
        <w:t xml:space="preserve">(89) or with subrule </w:t>
      </w:r>
      <w:hyperlink r:id="rId7">
        <w:r>
          <w:rPr>
            <w:rStyle w:val="Hyperlink"/>
            <w:rFonts w:ascii="Times New Roman" w:hAnsi="Times New Roman"/>
            <w:b w:val="false"/>
            <w:i w:val="false"/>
            <w:color w:val="000000"/>
            <w:sz w:val="22"/>
          </w:rPr>
          <w:t>91.13(4)</w:t>
        </w:r>
      </w:hyperlink>
      <w:r>
        <w:rPr>
          <w:rFonts w:ascii="Times New Roman" w:hAnsi="Times New Roman"/>
          <w:b w:val="false"/>
          <w:i w:val="false"/>
          <w:color w:val="000000"/>
          <w:sz w:val="22"/>
        </w:rPr>
        <w:t xml:space="preserve"> constitutes compliance with this rule. Compliance with an earlier edition of NFPA 31, NFPA 54, NFPA 58, NFPA 85, or IMC constitutes compliance with this rule. However, compliance with one of the listed NFPA codes constitutes compliance with this rule only if the object burns the fuel covered by the NFPA. Compliance with an earlier version of Iowa’s combustion air rule constitutes compliance with this rule. Earlier versions of Iowa’s combustion air rule are available from the board’s staff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91.13(4)</w:t>
      </w:r>
      <w:r>
        <w:rPr>
          <w:rFonts w:ascii="Times New Roman" w:hAnsi="Times New Roman"/>
          <w:b w:val="false"/>
          <w:i w:val="false"/>
          <w:color w:val="000000"/>
          <w:sz w:val="22"/>
        </w:rPr>
        <w:t> </w:t>
      </w:r>
      <w:r>
        <w:rPr>
          <w:rFonts w:ascii="Times New Roman" w:hAnsi="Times New Roman"/>
          <w:b w:val="false"/>
          <w:i/>
          <w:color w:val="000000"/>
          <w:sz w:val="22"/>
        </w:rPr>
        <w:t xml:space="preserve">Iowa combustion air standard. </w:t>
      </w:r>
      <w:r>
        <w:rPr>
          <w:rFonts w:ascii="Times New Roman" w:hAnsi="Times New Roman"/>
          <w:b w:val="false"/>
          <w:i w:val="false"/>
          <w:color w:val="000000"/>
          <w:sz w:val="22"/>
        </w:rPr>
        <w:t>A permanent source of outside air shall be provided for each room to permit satisfactory combustion of fuel and ventilation if necessary under normal operations. The minimum ventilation for coal, gas, or oil burners in rooms containing objects is based on the Btu’s per hour, required air, and louvered area. The minimum net louvered area shall not be less than 1 square foot. The following table shall be used to determine the net louvered area in square feet:</w:t>
      </w:r>
    </w:p>
    <w:tbl>
      <w:tblPr>
        <w:tblW w:w="5000" w:type="pct"/>
        <w:tblCellSpacing w:w="0" w:type="auto"/>
        <w:tblBorders>
          <w:top w:val="none"/>
          <w:left w:val="none"/>
          <w:bottom w:val="none"/>
          <w:right w:val="none"/>
          <w:insideH w:val="none"/>
          <w:insideV w:val="none"/>
        </w:tblBorders>
        <w:tblLayout w:type="fixed"/>
      </w:tblPr>
      <w:tblGrid>
        <w:gridCol w:w="2930"/>
        <w:gridCol w:w="3890"/>
        <w:gridCol w:w="4370"/>
      </w:tblGrid>
      <w:tr>
        <w:trPr>
          <w:trHeight w:val="390" w:hRule="atLeast"/>
        </w:trPr>
        <w:tc>
          <w:tcPr>
            <w:tcW w:w="2930"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INPUT</w:t>
            </w:r>
          </w:p>
          <w:p>
            <w:pPr>
              <w:spacing w:before="0" w:after="0"/>
              <w:ind w:left="160"/>
              <w:jc w:val="center"/>
            </w:pPr>
            <w:r>
              <w:rPr>
                <w:rFonts w:ascii="Times New Roman" w:hAnsi="Times New Roman"/>
                <w:b w:val="false"/>
                <w:i w:val="false"/>
                <w:color w:val="000000"/>
                <w:sz w:val="16"/>
              </w:rPr>
              <w:t>(Btu’s per hour)</w:t>
            </w:r>
          </w:p>
        </w:tc>
        <w:tc>
          <w:tcPr>
            <w:tcW w:w="3890"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MINIMUM AIR REQUIRED</w:t>
            </w:r>
          </w:p>
          <w:p>
            <w:pPr>
              <w:spacing w:before="0" w:after="0"/>
              <w:ind w:left="160"/>
              <w:jc w:val="center"/>
            </w:pPr>
            <w:r>
              <w:rPr>
                <w:rFonts w:ascii="Times New Roman" w:hAnsi="Times New Roman"/>
                <w:b w:val="false"/>
                <w:i w:val="false"/>
                <w:color w:val="000000"/>
                <w:sz w:val="16"/>
              </w:rPr>
              <w:t>(cubic feet per minute)</w:t>
            </w:r>
          </w:p>
        </w:tc>
        <w:tc>
          <w:tcPr>
            <w:tcW w:w="4370"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MINIMUM LOUVERED AREA</w:t>
            </w:r>
          </w:p>
          <w:p>
            <w:pPr>
              <w:spacing w:before="0" w:after="0"/>
              <w:ind w:left="160"/>
              <w:jc w:val="center"/>
            </w:pPr>
            <w:r>
              <w:rPr>
                <w:rFonts w:ascii="Times New Roman" w:hAnsi="Times New Roman"/>
                <w:b w:val="false"/>
                <w:i w:val="false"/>
                <w:color w:val="000000"/>
                <w:sz w:val="16"/>
              </w:rPr>
              <w:t>(net square feet)</w:t>
            </w:r>
          </w:p>
        </w:tc>
      </w:tr>
      <w:tr>
        <w:trPr>
          <w:trHeight w:val="225"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500,000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125</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1,000,000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250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2,000,000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500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1.6</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3,000,000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750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2.5</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4,000,000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1,000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3.3</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5,000,000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1,200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4.1</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6,000,000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1,500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7,000,000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1,750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5.8</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8,000,000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2,000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6.6</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9,000,000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2,250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7.5</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10,000,000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2,500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8.3</w:t>
            </w:r>
          </w:p>
        </w:tc>
      </w:tr>
    </w:tbl>
    <w:p>
      <w:pPr>
        <w:spacing w:before="0" w:after="0"/>
        <w:ind w:left="120"/>
        <w:jc w:val="both"/>
      </w:pPr>
      <w:r>
        <w:rPr>
          <w:rFonts w:ascii="Times New Roman" w:hAnsi="Times New Roman"/>
          <w:b w:val="false"/>
          <w:i w:val="false"/>
          <w:color w:val="000000"/>
          <w:sz w:val="22"/>
        </w:rPr>
        <w:t>When mechanical ventilation is used, the supply of combustion and ventilation air to the objects and the firing device shall be interlocked with the fan so the firing device will not operate with the fan off. The velocity of the air through the ventilating fan shall not exceed 500 feet per minute, and the total air delivered shall be equal to or greater than shown above.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3635C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91.1.pdf" Type="http://schemas.openxmlformats.org/officeDocument/2006/relationships/hyperlink" Id="rId4"/>
    <Relationship TargetMode="External" Target="https://www.legis.iowa.gov/docs/iac/rule/875.91.13.pdf" Type="http://schemas.openxmlformats.org/officeDocument/2006/relationships/hyperlink" Id="rId5"/>
    <Relationship TargetMode="External" Target="https://www.legis.iowa.gov/docs/iac/rule/875.91.1.pdf" Type="http://schemas.openxmlformats.org/officeDocument/2006/relationships/hyperlink" Id="rId6"/>
    <Relationship TargetMode="External" Target="https://www.legis.iowa.gov/docs/iac/rule/875.91.1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