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875—91.1</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and code cases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ASME boiler and pressure vessel codes adopted by reference. </w:t>
      </w:r>
      <w:r>
        <w:rPr>
          <w:rFonts w:ascii="Times New Roman" w:hAnsi="Times New Roman"/>
          <w:b w:val="false"/>
          <w:i w:val="false"/>
          <w:color w:val="000000"/>
          <w:sz w:val="22"/>
        </w:rPr>
        <w:t>The ASME Boiler and Pressure Vessel Code (2021) is adopted by reference. Regulated objects shall be designed and constructed in accordance with the ASME Boiler and Pressure Vessel Code (2021) except for objects that 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object with an ASME stamp and National Board Registration that establish compliance with an earlier version of the ASME Boiler and Pressure Vessel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miniature boiler installed before March 31, 1967;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power boiler or unfired steam pressure vessel installed before July 4, 1951;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steam heating boiler, hot water heating boiler, or hot water supply boiler installed before July 1, 1960.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ASME code cases. </w:t>
      </w:r>
      <w:r>
        <w:rPr>
          <w:rFonts w:ascii="Times New Roman" w:hAnsi="Times New Roman"/>
          <w:b w:val="false"/>
          <w:i w:val="false"/>
          <w:color w:val="000000"/>
          <w:sz w:val="22"/>
        </w:rPr>
        <w:t>If the manufacturer of an object listed ASME Code Case 2668-1, 2760, 2764-1, or 2869 on the manufacturer’s data report for the object and the object is otherwise in compliance with all applicable provisions, the object is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Inspection code adopted by reference. </w:t>
      </w:r>
      <w:r>
        <w:rPr>
          <w:rFonts w:ascii="Times New Roman" w:hAnsi="Times New Roman"/>
          <w:b w:val="false"/>
          <w:i w:val="false"/>
          <w:color w:val="000000"/>
          <w:sz w:val="22"/>
        </w:rPr>
        <w:t>The National Board Inspection Code (2021) is adopted by reference, and installations, alterations, and repairs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color w:val="000000"/>
          <w:sz w:val="22"/>
        </w:rPr>
        <w:t xml:space="preserve">Electric code adopted by reference. </w:t>
      </w:r>
      <w:r>
        <w:rPr>
          <w:rFonts w:ascii="Times New Roman" w:hAnsi="Times New Roman"/>
          <w:b w:val="false"/>
          <w:i w:val="false"/>
          <w:color w:val="000000"/>
          <w:sz w:val="22"/>
        </w:rPr>
        <w:t>The National Electrical Code, NFPA 70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w:t>
      </w:r>
      <w:r>
        <w:rPr>
          <w:rFonts w:ascii="Times New Roman" w:hAnsi="Times New Roman"/>
          <w:b w:val="false"/>
          <w:i w:val="false"/>
          <w:color w:val="000000"/>
          <w:sz w:val="22"/>
        </w:rPr>
        <w:t> </w:t>
      </w:r>
      <w:r>
        <w:rPr>
          <w:rFonts w:ascii="Times New Roman" w:hAnsi="Times New Roman"/>
          <w:b w:val="false"/>
          <w:i/>
          <w:color w:val="000000"/>
          <w:sz w:val="22"/>
        </w:rPr>
        <w:t xml:space="preserve">Piping codes adopted by reference. </w:t>
      </w:r>
      <w:r>
        <w:rPr>
          <w:rFonts w:ascii="Times New Roman" w:hAnsi="Times New Roman"/>
          <w:b w:val="false"/>
          <w:i w:val="false"/>
          <w:color w:val="000000"/>
          <w:sz w:val="22"/>
        </w:rPr>
        <w:t>The Power Piping Code, ASME B31.1 (2020), and the Building Services Piping Code, ASME B31.9 (2020), are adopted by reference, and installations after February 16, 2022, shall comply with them up to and including the first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w:t>
      </w:r>
      <w:r>
        <w:rPr>
          <w:rFonts w:ascii="Times New Roman" w:hAnsi="Times New Roman"/>
          <w:b w:val="false"/>
          <w:i w:val="false"/>
          <w:color w:val="000000"/>
          <w:sz w:val="22"/>
        </w:rPr>
        <w:t> </w:t>
      </w:r>
      <w:r>
        <w:rPr>
          <w:rFonts w:ascii="Times New Roman" w:hAnsi="Times New Roman"/>
          <w:b w:val="false"/>
          <w:i/>
          <w:color w:val="000000"/>
          <w:sz w:val="22"/>
        </w:rPr>
        <w:t xml:space="preserve">Control and safety device code adopted by reference. </w:t>
      </w:r>
      <w:r>
        <w:rPr>
          <w:rFonts w:ascii="Times New Roman" w:hAnsi="Times New Roman"/>
          <w:b w:val="false"/>
          <w:i w:val="false"/>
          <w:color w:val="000000"/>
          <w:sz w:val="22"/>
        </w:rPr>
        <w:t xml:space="preserve">Controls and Safety Devices for Automatically Fired Boilers (CSD-1) (2021) is adopted by reference, and installations after December 1, 2022, shall comply with it. Reporting requirements concerning CSD-1 are set forth at rule </w:t>
      </w:r>
      <w:hyperlink r:id="rId4">
        <w:r>
          <w:rPr>
            <w:rStyle w:val="Hyperlink"/>
            <w:rFonts w:ascii="Times New Roman" w:hAnsi="Times New Roman"/>
            <w:b w:val="false"/>
            <w:i w:val="false"/>
            <w:color w:val="000000"/>
            <w:sz w:val="22"/>
          </w:rPr>
          <w:t>875—90.11</w:t>
        </w:r>
      </w:hyperlink>
      <w:r>
        <w:rPr>
          <w:rFonts w:ascii="Times New Roman" w:hAnsi="Times New Roman"/>
          <w:b w:val="false"/>
          <w:i w:val="false"/>
          <w:color w:val="000000"/>
          <w:sz w:val="22"/>
        </w:rPr>
        <w:t>(89).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w:t>
      </w:r>
      <w:r>
        <w:rPr>
          <w:rFonts w:ascii="Times New Roman" w:hAnsi="Times New Roman"/>
          <w:b w:val="false"/>
          <w:i w:val="false"/>
          <w:color w:val="000000"/>
          <w:sz w:val="22"/>
        </w:rPr>
        <w:t> </w:t>
      </w:r>
      <w:r>
        <w:rPr>
          <w:rFonts w:ascii="Times New Roman" w:hAnsi="Times New Roman"/>
          <w:b w:val="false"/>
          <w:i/>
          <w:color w:val="000000"/>
          <w:sz w:val="22"/>
        </w:rPr>
        <w:t xml:space="preserve">Mechanical code adopted by reference. </w:t>
      </w:r>
      <w:r>
        <w:rPr>
          <w:rFonts w:ascii="Times New Roman" w:hAnsi="Times New Roman"/>
          <w:b w:val="false"/>
          <w:i w:val="false"/>
          <w:color w:val="000000"/>
          <w:sz w:val="22"/>
        </w:rPr>
        <w:t>Excluding Section 701.1, Chapters 2 and 7 of the International Mechanical Code (IMC) (2021) are adopted by reference, and installations after February 16, 2022, shall comply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w:t>
      </w:r>
      <w:r>
        <w:rPr>
          <w:rFonts w:ascii="Times New Roman" w:hAnsi="Times New Roman"/>
          <w:b w:val="false"/>
          <w:i w:val="false"/>
          <w:color w:val="000000"/>
          <w:sz w:val="22"/>
        </w:rPr>
        <w:t> </w:t>
      </w:r>
      <w:r>
        <w:rPr>
          <w:rFonts w:ascii="Times New Roman" w:hAnsi="Times New Roman"/>
          <w:b w:val="false"/>
          <w:i/>
          <w:color w:val="000000"/>
          <w:sz w:val="22"/>
        </w:rPr>
        <w:t xml:space="preserve">Oil burning equipment code adopted by reference. </w:t>
      </w:r>
      <w:r>
        <w:rPr>
          <w:rFonts w:ascii="Times New Roman" w:hAnsi="Times New Roman"/>
          <w:b w:val="false"/>
          <w:i w:val="false"/>
          <w:color w:val="000000"/>
          <w:sz w:val="22"/>
        </w:rPr>
        <w:t>National Fire Protection Association Standard for the Installation of Oil Burning Equipment, NFPA 31 (2020),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w:t>
      </w:r>
      <w:r>
        <w:rPr>
          <w:rFonts w:ascii="Times New Roman" w:hAnsi="Times New Roman"/>
          <w:b w:val="false"/>
          <w:i w:val="false"/>
          <w:color w:val="000000"/>
          <w:sz w:val="22"/>
        </w:rPr>
        <w:t> </w:t>
      </w:r>
      <w:r>
        <w:rPr>
          <w:rFonts w:ascii="Times New Roman" w:hAnsi="Times New Roman"/>
          <w:b w:val="false"/>
          <w:i/>
          <w:color w:val="000000"/>
          <w:sz w:val="22"/>
        </w:rPr>
        <w:t xml:space="preserve">Fuel gas code adopted by reference. </w:t>
      </w:r>
      <w:r>
        <w:rPr>
          <w:rFonts w:ascii="Times New Roman" w:hAnsi="Times New Roman"/>
          <w:b w:val="false"/>
          <w:i w:val="false"/>
          <w:color w:val="000000"/>
          <w:sz w:val="22"/>
        </w:rPr>
        <w:t>National Fire Protection Association National Fuel Gas Code, NFPA 54 (2021), is adopted by reference, and installations after February 16, 2022,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w:t>
      </w:r>
      <w:r>
        <w:rPr>
          <w:rFonts w:ascii="Times New Roman" w:hAnsi="Times New Roman"/>
          <w:b w:val="false"/>
          <w:i w:val="false"/>
          <w:color w:val="000000"/>
          <w:sz w:val="22"/>
        </w:rPr>
        <w:t> </w:t>
      </w:r>
      <w:r>
        <w:rPr>
          <w:rFonts w:ascii="Times New Roman" w:hAnsi="Times New Roman"/>
          <w:b w:val="false"/>
          <w:i/>
          <w:color w:val="000000"/>
          <w:sz w:val="22"/>
        </w:rPr>
        <w:t xml:space="preserve">Liquefied petroleum gas code adopted by reference. </w:t>
      </w:r>
      <w:r>
        <w:rPr>
          <w:rFonts w:ascii="Times New Roman" w:hAnsi="Times New Roman"/>
          <w:b w:val="false"/>
          <w:i w:val="false"/>
          <w:color w:val="000000"/>
          <w:sz w:val="22"/>
        </w:rPr>
        <w:t>National Fire Protection Association Liquefied Petroleum Gas Code, NFPA 58 (2020), is adopted by reference, and installations after April 15, 2020, shall comply with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color w:val="000000"/>
          <w:sz w:val="22"/>
        </w:rPr>
        <w:t xml:space="preserve">Boiler and combustion systems hazards code adopted by reference. </w:t>
      </w:r>
      <w:r>
        <w:rPr>
          <w:rFonts w:ascii="Times New Roman" w:hAnsi="Times New Roman"/>
          <w:b w:val="false"/>
          <w:i w:val="false"/>
          <w:color w:val="000000"/>
          <w:sz w:val="22"/>
        </w:rPr>
        <w:t>National Fire Protection Association Boiler and Combustion Systems Hazards Code, NFPA 85 (2019), is adopted by reference, and installations after April 15, 2020, shall comply with it.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8590B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9232B</w:t>
      </w:r>
      <w:r>
        <w:rPr>
          <w:rFonts w:ascii="Times New Roman" w:hAnsi="Times New Roman"/>
          <w:b w:val="false"/>
          <w:i w:val="false"/>
          <w:color w:val="000000"/>
          <w:sz w:val="16"/>
        </w:rPr>
        <w:t>, IAB 11/17/10, effective 12/22/10</w:t>
      </w:r>
      <w:r>
        <w:rPr>
          <w:rFonts w:ascii="Times New Roman" w:hAnsi="Times New Roman"/>
          <w:b w:val="false"/>
          <w:i w:val="false"/>
          <w:color w:val="000000"/>
          <w:sz w:val="16"/>
        </w:rPr>
        <w:t xml:space="preserve">; </w:t>
      </w:r>
      <w:r>
        <w:rPr>
          <w:rFonts w:ascii="Times New Roman" w:hAnsi="Times New Roman"/>
          <w:b/>
          <w:i w:val="false"/>
          <w:color w:val="000000"/>
          <w:sz w:val="16"/>
        </w:rPr>
        <w:t>ARC 9790B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 xml:space="preserve">; </w:t>
      </w:r>
      <w:r>
        <w:rPr>
          <w:rFonts w:ascii="Times New Roman" w:hAnsi="Times New Roman"/>
          <w:b/>
          <w:i w:val="false"/>
          <w:color w:val="000000"/>
          <w:sz w:val="16"/>
        </w:rPr>
        <w:t>ARC 0416C</w:t>
      </w:r>
      <w:r>
        <w:rPr>
          <w:rFonts w:ascii="Times New Roman" w:hAnsi="Times New Roman"/>
          <w:b w:val="false"/>
          <w:i w:val="false"/>
          <w:color w:val="000000"/>
          <w:sz w:val="16"/>
        </w:rPr>
        <w:t>, IAB 10/31/12, effective 12/5/12</w:t>
      </w:r>
      <w:r>
        <w:rPr>
          <w:rFonts w:ascii="Times New Roman" w:hAnsi="Times New Roman"/>
          <w:b w:val="false"/>
          <w:i w:val="false"/>
          <w:color w:val="000000"/>
          <w:sz w:val="16"/>
        </w:rPr>
        <w:t xml:space="preserve">; </w:t>
      </w:r>
      <w:r>
        <w:rPr>
          <w:rFonts w:ascii="Times New Roman" w:hAnsi="Times New Roman"/>
          <w:b/>
          <w:i w:val="false"/>
          <w:color w:val="000000"/>
          <w:sz w:val="16"/>
        </w:rPr>
        <w:t>ARC 1011C</w:t>
      </w:r>
      <w:r>
        <w:rPr>
          <w:rFonts w:ascii="Times New Roman" w:hAnsi="Times New Roman"/>
          <w:b w:val="false"/>
          <w:i w:val="false"/>
          <w:color w:val="000000"/>
          <w:sz w:val="16"/>
        </w:rPr>
        <w:t>, IAB 9/18/13, effective 10/31/13</w:t>
      </w:r>
      <w:r>
        <w:rPr>
          <w:rFonts w:ascii="Times New Roman" w:hAnsi="Times New Roman"/>
          <w:b w:val="false"/>
          <w:i w:val="false"/>
          <w:color w:val="000000"/>
          <w:sz w:val="16"/>
        </w:rPr>
        <w:t xml:space="preserve">; </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2403C</w:t>
      </w:r>
      <w:r>
        <w:rPr>
          <w:rFonts w:ascii="Times New Roman" w:hAnsi="Times New Roman"/>
          <w:b w:val="false"/>
          <w:i w:val="false"/>
          <w:color w:val="000000"/>
          <w:sz w:val="16"/>
        </w:rPr>
        <w:t>, IAB 2/17/16, effective 4/1/16</w:t>
      </w:r>
      <w:r>
        <w:rPr>
          <w:rFonts w:ascii="Times New Roman" w:hAnsi="Times New Roman"/>
          <w:b w:val="false"/>
          <w:i w:val="false"/>
          <w:color w:val="000000"/>
          <w:sz w:val="16"/>
        </w:rPr>
        <w:t xml:space="preserve">; </w:t>
      </w:r>
      <w:r>
        <w:rPr>
          <w:rFonts w:ascii="Times New Roman" w:hAnsi="Times New Roman"/>
          <w:b/>
          <w:i w:val="false"/>
          <w:color w:val="000000"/>
          <w:sz w:val="16"/>
        </w:rPr>
        <w:t>ARC 2589C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3903C</w:t>
      </w:r>
      <w:r>
        <w:rPr>
          <w:rFonts w:ascii="Times New Roman" w:hAnsi="Times New Roman"/>
          <w:b w:val="false"/>
          <w:i w:val="false"/>
          <w:color w:val="000000"/>
          <w:sz w:val="16"/>
        </w:rPr>
        <w:t>, IAB 7/18/18, effective 9/1/18</w:t>
      </w:r>
      <w:r>
        <w:rPr>
          <w:rFonts w:ascii="Times New Roman" w:hAnsi="Times New Roman"/>
          <w:b w:val="false"/>
          <w:i w:val="false"/>
          <w:color w:val="000000"/>
          <w:sz w:val="16"/>
        </w:rPr>
        <w:t xml:space="preserve">; </w:t>
      </w:r>
      <w:r>
        <w:rPr>
          <w:rFonts w:ascii="Times New Roman" w:hAnsi="Times New Roman"/>
          <w:b/>
          <w:i w:val="false"/>
          <w:color w:val="000000"/>
          <w:sz w:val="16"/>
        </w:rPr>
        <w:t>ARC 4303C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4977C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 xml:space="preserve">; </w:t>
      </w:r>
      <w:r>
        <w:rPr>
          <w:rFonts w:ascii="Times New Roman" w:hAnsi="Times New Roman"/>
          <w:b/>
          <w:i w:val="false"/>
          <w:color w:val="000000"/>
          <w:sz w:val="16"/>
        </w:rPr>
        <w:t>ARC 6135C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6681C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0.1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