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875—90.8</w:t>
      </w:r>
      <w:r>
        <w:rPr>
          <w:rFonts w:ascii="Times New Roman" w:hAnsi="Times New Roman"/>
          <w:b/>
          <w:i w:val="false"/>
          <w:color w:val="000000"/>
          <w:sz w:val="22"/>
        </w:rPr>
        <w:t xml:space="preserve">(89) </w:t>
      </w:r>
      <w:r>
        <w:rPr>
          <w:rFonts w:ascii="Times New Roman" w:hAnsi="Times New Roman"/>
          <w:b/>
          <w:i w:val="false"/>
          <w:color w:val="000000"/>
          <w:sz w:val="22"/>
        </w:rPr>
        <w:t xml:space="preserve">Certificate. </w:t>
      </w:r>
      <w:r>
        <w:rPr>
          <w:rFonts w:ascii="Times New Roman" w:hAnsi="Times New Roman"/>
          <w:b w:val="false"/>
          <w:i w:val="false"/>
          <w:color w:val="000000"/>
          <w:sz w:val="22"/>
        </w:rPr>
        <w:t>No boiler or pressure vessel shall be operated without a current, valid certificate to operate. A certificate to operate shall not be issued until the boiler or pressure vessel is in compliance with the applicable rules and all fees have been paid. The current certificate to operate or a copy of the current certificate to operate shall be conspicuously posted in the room where the object is installed.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1964C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