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875—90.6</w:t>
      </w:r>
      <w:r>
        <w:rPr>
          <w:rFonts w:ascii="Times New Roman" w:hAnsi="Times New Roman"/>
          <w:b/>
          <w:i w:val="false"/>
          <w:color w:val="000000"/>
          <w:sz w:val="22"/>
        </w:rPr>
        <w:t xml:space="preserve">(89)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All boilers and unfired steam pressure vessels covered by Iowa Code chapter </w:t>
      </w:r>
      <w:hyperlink r:id="rId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shall be inspected according to the requirements of the National Board Inspection Code (2021), which is hereby adopted by reference. A division inspector or special inspector must perform the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90.6(2)</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required inspections must be performed according to the schedule set forth in Iowa Code section </w:t>
      </w:r>
      <w:hyperlink r:id="rId5">
        <w:r>
          <w:rPr>
            <w:rStyle w:val="Hyperlink"/>
            <w:rFonts w:ascii="Times New Roman" w:hAnsi="Times New Roman"/>
            <w:b w:val="false"/>
            <w:i w:val="false"/>
            <w:color w:val="000000"/>
            <w:sz w:val="22"/>
          </w:rPr>
          <w:t>89.3</w:t>
        </w:r>
      </w:hyperlink>
      <w:r>
        <w:rPr>
          <w:rFonts w:ascii="Times New Roman" w:hAnsi="Times New Roman"/>
          <w:b w:val="false"/>
          <w:i w:val="false"/>
          <w:color w:val="000000"/>
          <w:sz w:val="22"/>
        </w:rPr>
        <w:t>, unless an exception is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inspections of unfired steam pressure vessels operating in excess of 15 pounds per square inch and low pressure steam boilers, each certificate inspection must be performed within a 60-day period prior to the expiration date of the operating certificate. Modification of this 60-day period will be permitted only upon written application showing just cause for waiver of the 60-day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inspections may be conducted when deemed necessary by the division and the object’s owner or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90.6(3)</w:t>
      </w:r>
      <w:r>
        <w:rPr>
          <w:rFonts w:ascii="Times New Roman" w:hAnsi="Times New Roman"/>
          <w:b w:val="false"/>
          <w:i w:val="false"/>
          <w:color w:val="000000"/>
          <w:sz w:val="22"/>
        </w:rPr>
        <w:t> </w:t>
      </w:r>
      <w:r>
        <w:rPr>
          <w:rFonts w:ascii="Times New Roman" w:hAnsi="Times New Roman"/>
          <w:b w:val="false"/>
          <w:i/>
          <w:color w:val="000000"/>
          <w:sz w:val="22"/>
        </w:rPr>
        <w:t xml:space="preserve">Inspections conducted by special inspectors. </w:t>
      </w:r>
      <w:r>
        <w:rPr>
          <w:rFonts w:ascii="Times New Roman" w:hAnsi="Times New Roman"/>
          <w:b w:val="false"/>
          <w:i w:val="false"/>
          <w:color w:val="000000"/>
          <w:sz w:val="22"/>
        </w:rPr>
        <w:t xml:space="preserve">Special inspectors shall provide copies of the completed report to the insured and to the division within 14 days of completing the inspection. The reports shall list all noteworthy conditions that are within the scope of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all recommendations, and all requirements. If the special inspector has not provided the results of the inspection within the time frame identified, the division may conduct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90.6(4)</w:t>
      </w:r>
      <w:r>
        <w:rPr>
          <w:rFonts w:ascii="Times New Roman" w:hAnsi="Times New Roman"/>
          <w:b w:val="false"/>
          <w:i w:val="false"/>
          <w:color w:val="000000"/>
          <w:sz w:val="22"/>
        </w:rPr>
        <w:t> </w:t>
      </w:r>
      <w:r>
        <w:rPr>
          <w:rFonts w:ascii="Times New Roman" w:hAnsi="Times New Roman"/>
          <w:b w:val="false"/>
          <w:i/>
          <w:color w:val="000000"/>
          <w:sz w:val="22"/>
        </w:rPr>
        <w:t xml:space="preserve">Type of inspection. </w:t>
      </w:r>
      <w:r>
        <w:rPr>
          <w:rFonts w:ascii="Times New Roman" w:hAnsi="Times New Roman"/>
          <w:b w:val="false"/>
          <w:i w:val="false"/>
          <w:color w:val="000000"/>
          <w:sz w:val="22"/>
        </w:rPr>
        <w:t>The inspection shall be an internal inspection when required; otherwise, it shall be as complete an external inspection as possible. Conditions including, but not limited to, the following may also be the basis for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Visible metal or insulation discoloration due to excessive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Visible distortion of any part of the pressure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Visible leakage from any pressure-containing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operating records or verbal reports of a vessel being subjected to pressure above the nameplate rating or to a temperature above or below the nameplate design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suspected or known history of internal corrosion or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or knowledge of a vessel having been subjected to external heat from a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welded repair not documented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an accident, incident or malfunction that could affect or may have resulted from a problem with the object’s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90.6(5)</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for unfired steam pressure vessels operating at more than 15 pounds per square inch. </w:t>
      </w:r>
      <w:r>
        <w:rPr>
          <w:rFonts w:ascii="Times New Roman" w:hAnsi="Times New Roman"/>
          <w:b w:val="false"/>
          <w:i w:val="false"/>
          <w:color w:val="000000"/>
          <w:sz w:val="22"/>
        </w:rPr>
        <w:t xml:space="preserve">The commissioner may require an internal inspection of an unfired steam pressure vessel operating in excess of 15 psi when an inspector observes any deviation from these rules, Iowa Code chapter </w:t>
      </w:r>
      <w:hyperlink r:id="rId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construction code, the installation code, or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90.6(6)</w:t>
      </w:r>
      <w:r>
        <w:rPr>
          <w:rFonts w:ascii="Times New Roman" w:hAnsi="Times New Roman"/>
          <w:b w:val="false"/>
          <w:i w:val="false"/>
          <w:color w:val="000000"/>
          <w:sz w:val="22"/>
        </w:rPr>
        <w:t> </w:t>
      </w:r>
      <w:r>
        <w:rPr>
          <w:rFonts w:ascii="Times New Roman" w:hAnsi="Times New Roman"/>
          <w:b w:val="false"/>
          <w:i/>
          <w:color w:val="000000"/>
          <w:sz w:val="22"/>
        </w:rPr>
        <w:t xml:space="preserve">Inspection of inaccessible parts. </w:t>
      </w:r>
      <w:r>
        <w:rPr>
          <w:rFonts w:ascii="Times New Roman" w:hAnsi="Times New Roman"/>
          <w:b w:val="false"/>
          <w:i w:val="false"/>
          <w:color w:val="000000"/>
          <w:sz w:val="22"/>
        </w:rPr>
        <w:t>When, in the opinion of the inspector, as a result of conditions disclosed at the time of inspection, it is advisable to remove the interior or exterior lining, covering, or brickwork to expose certain parts of the vessel not normally visible, the owner or user shall remove such material to permit proper inspection and thickness measurement of any part of the vessel. Nondestructive examination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90.6(7)</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labor commissioner determines that continued operation of an object constitutes an imminent danger that could seriously injure or cause death to any person, notice to immediately cease operation of that object shall be made to the owner or user through contact information available in the division’s records or by posting a notice at the location of the object.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such notice, the owner or user shall immediately take the necessary steps to cease operation of the object. All forms of energy to and from the object must be isolated and physically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division inspector will verify that the object is no longer in operation and all forms of energy to and from the object have been isolated and are locked in the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shall not be used until all necessary repairs have been completed, the object has passed inspection, all repair documentation is complete, and the division reviews and approves the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an object in violation of this subrule may result in further legal action pursuant to Iowa Code sections </w:t>
      </w:r>
      <w:hyperlink r:id="rId8">
        <w:r>
          <w:rPr>
            <w:rStyle w:val="Hyperlink"/>
            <w:rFonts w:ascii="Times New Roman" w:hAnsi="Times New Roman"/>
            <w:b w:val="false"/>
            <w:i w:val="false"/>
            <w:color w:val="000000"/>
            <w:sz w:val="22"/>
          </w:rPr>
          <w:t>89.11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90.6(8)</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inspections on a four-year cycle based on process safety management compliance. </w:t>
      </w:r>
      <w:r>
        <w:rPr>
          <w:rFonts w:ascii="Times New Roman" w:hAnsi="Times New Roman"/>
          <w:b w:val="false"/>
          <w:i w:val="false"/>
          <w:color w:val="000000"/>
          <w:sz w:val="22"/>
        </w:rPr>
        <w:t xml:space="preserve">The owner shall demonstrate compliance with the requirements set forth in Iowa Code section </w:t>
      </w:r>
      <w:hyperlink r:id="rId10">
        <w:r>
          <w:rPr>
            <w:rStyle w:val="Hyperlink"/>
            <w:rFonts w:ascii="Times New Roman" w:hAnsi="Times New Roman"/>
            <w:b w:val="false"/>
            <w:i w:val="false"/>
            <w:color w:val="000000"/>
            <w:sz w:val="22"/>
          </w:rPr>
          <w:t>89.3(5)</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(b) by annually submitting to the labor commissioner a notarized affidavit. The affidavit shall be in a format approved by the labor commissioner and shall be signed by the owner or an officer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90.6(9)</w:t>
      </w:r>
      <w:r>
        <w:rPr>
          <w:rFonts w:ascii="Times New Roman" w:hAnsi="Times New Roman"/>
          <w:b w:val="false"/>
          <w:i w:val="false"/>
          <w:color w:val="000000"/>
          <w:sz w:val="22"/>
        </w:rPr>
        <w:t> </w:t>
      </w:r>
      <w:r>
        <w:rPr>
          <w:rFonts w:ascii="Times New Roman" w:hAnsi="Times New Roman"/>
          <w:b w:val="false"/>
          <w:i/>
          <w:color w:val="000000"/>
          <w:sz w:val="22"/>
        </w:rPr>
        <w:t xml:space="preserve">Internal inspection on a four-year cycle for utility objects. </w:t>
      </w:r>
      <w:r>
        <w:rPr>
          <w:rFonts w:ascii="Times New Roman" w:hAnsi="Times New Roman"/>
          <w:b w:val="false"/>
          <w:i w:val="false"/>
          <w:color w:val="000000"/>
          <w:sz w:val="22"/>
        </w:rPr>
        <w:t>An object that meets the criteria of this subrule shall be inspected internally at least once every four years and externally every year. If at any time the object or the owner no longer meets the criteria of this subrule, internal inspections shall be performed on a two-year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is owned and operated by an electric public utility subject to rate regulation under Iowa Code chapter </w:t>
      </w:r>
      <w:hyperlink r:id="rId11">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 and the owner meet all the requirements for a two-year internal inspection interval as set forth in Iowa Code section </w:t>
      </w:r>
      <w:hyperlink r:id="rId12">
        <w:r>
          <w:rPr>
            <w:rStyle w:val="Hyperlink"/>
            <w:rFonts w:ascii="Times New Roman" w:hAnsi="Times New Roman"/>
            <w:b w:val="false"/>
            <w:i w:val="false"/>
            <w:color w:val="000000"/>
            <w:sz w:val="22"/>
          </w:rPr>
          <w:t>89.3, subsection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object is shut down for a period sufficient to allow safe entry, and more than two years have passed since the last internal inspection, the owner shall notify the labor commissioner of the outage and shall schedule an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labor commissioner determines that an earlier inspection is necessary, the owner shall prepare the object for inspection pursuant to rule </w:t>
      </w:r>
      <w:hyperlink r:id="rId13">
        <w:r>
          <w:rPr>
            <w:rStyle w:val="Hyperlink"/>
            <w:rFonts w:ascii="Times New Roman" w:hAnsi="Times New Roman"/>
            <w:b w:val="false"/>
            <w:i w:val="false"/>
            <w:color w:val="000000"/>
            <w:sz w:val="22"/>
          </w:rPr>
          <w:t>875—90.5</w:t>
        </w:r>
      </w:hyperlink>
      <w:r>
        <w:rPr>
          <w:rFonts w:ascii="Times New Roman" w:hAnsi="Times New Roman"/>
          <w:b w:val="false"/>
          <w:i w:val="false"/>
          <w:color w:val="000000"/>
          <w:sz w:val="22"/>
        </w:rPr>
        <w:t>(89).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90.6(10)</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extended inspection interval.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of objects covered under Iowa Code section </w:t>
      </w:r>
      <w:hyperlink r:id="rId14">
        <w:r>
          <w:rPr>
            <w:rStyle w:val="Hyperlink"/>
            <w:rFonts w:ascii="Times New Roman" w:hAnsi="Times New Roman"/>
            <w:b w:val="false"/>
            <w:i w:val="false"/>
            <w:color w:val="000000"/>
            <w:sz w:val="22"/>
          </w:rPr>
          <w:t>89.3(4)</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apply for an extended internal inspection interval of up to seven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for an extended internal inspection interval shall include the following information submitted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requestor.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interval requested with supporting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with the process safety management standard contained in 29 CFR §1910.119.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object is included as process safety management process equipment in the owner’s process safety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object meets the requirements contained in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object is fit for service based on the year of fabrication and the estimated service life of the object as determined by Part 2 of the National Board Inspection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Practices have been implemented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supporting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records of the boiler and ancillary equipment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most recent Report of Fitness for Service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Form R-1 Report of Repair and Form R-2 Report of Alterations for the prior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conference,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will consider, among other things, whether the object meets the requirements contained in the National Board Inspection Code, whether the object is fit for service based on the year of fabrication, the estimated service life of the object as determined by Part 2 of the National Board Inspection Code, and whether the owner has implemented practices for managing consumable items and ancillary equipment of the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an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extended inspection interval lasts until the next inspection, at which time the owner of the object may again apply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shall promptly report to the department’s boiler and pressure vessel unit any unscheduled shutdowns, significant incidents, near misses, and any other occurrences that might reasonably require reinspection before the extended date. Should the occurrence reasonably require it, or if any such event is not reported within ten days of occurrence, the director may revoke the extended inspection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director does not intend to grant the extension, the director will give the applicant a Notice of Intent to Deny Extended Inspection Interval, granting ten days for the applicant to provide additional reasons and evidence why the interval should be extended.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1189C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1634C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2403C</w:t>
      </w:r>
      <w:r>
        <w:rPr>
          <w:rFonts w:ascii="Times New Roman" w:hAnsi="Times New Roman"/>
          <w:b w:val="false"/>
          <w:i w:val="false"/>
          <w:color w:val="000000"/>
          <w:sz w:val="16"/>
        </w:rPr>
        <w:t>, IAB 2/17/16, effective 4/1/16</w:t>
      </w:r>
      <w:r>
        <w:rPr>
          <w:rFonts w:ascii="Times New Roman" w:hAnsi="Times New Roman"/>
          <w:b w:val="false"/>
          <w:i w:val="false"/>
          <w:color w:val="000000"/>
          <w:sz w:val="16"/>
        </w:rPr>
        <w:t xml:space="preserve">; </w:t>
      </w:r>
      <w:r>
        <w:rPr>
          <w:rFonts w:ascii="Times New Roman" w:hAnsi="Times New Roman"/>
          <w:b/>
          <w:i w:val="false"/>
          <w:color w:val="000000"/>
          <w:sz w:val="16"/>
        </w:rPr>
        <w:t>ARC 4977C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6135C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7616C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pdf" Type="http://schemas.openxmlformats.org/officeDocument/2006/relationships/hyperlink" Id="rId4"/>
    <Relationship TargetMode="External" Target="https://www.legis.iowa.gov/docs/ico/chapter/89.3.pdf" Type="http://schemas.openxmlformats.org/officeDocument/2006/relationships/hyperlink" Id="rId5"/>
    <Relationship TargetMode="External" Target="https://www.legis.iowa.gov/docs/ico/chapter/89.pdf" Type="http://schemas.openxmlformats.org/officeDocument/2006/relationships/hyperlink" Id="rId6"/>
    <Relationship TargetMode="External" Target="https://www.legis.iowa.gov/docs/ico/chapter/89.pdf" Type="http://schemas.openxmlformats.org/officeDocument/2006/relationships/hyperlink" Id="rId7"/>
    <Relationship TargetMode="External" Target="https://www.legis.iowa.gov/docs/ico/chapter/89.11.pdf" Type="http://schemas.openxmlformats.org/officeDocument/2006/relationships/hyperlink" Id="rId8"/>
    <Relationship TargetMode="External" Target="https://www.legis.iowa.gov/docs/ico/chapter/89.13.pdf" Type="http://schemas.openxmlformats.org/officeDocument/2006/relationships/hyperlink" Id="rId9"/>
    <Relationship TargetMode="External" Target="https://www.legis.iowa.gov/docs/ico/chapter/89.3.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89.3.pdf" Type="http://schemas.openxmlformats.org/officeDocument/2006/relationships/hyperlink" Id="rId12"/>
    <Relationship TargetMode="External" Target="https://www.legis.iowa.gov/docs/iac/rule/875.90.5.pdf" Type="http://schemas.openxmlformats.org/officeDocument/2006/relationships/hyperlink" Id="rId13"/>
    <Relationship TargetMode="External" Target="https://www.legis.iowa.gov/docs/ico/chapter/89.3.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