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875—90.5</w:t>
      </w:r>
      <w:r>
        <w:rPr>
          <w:rFonts w:ascii="Times New Roman" w:hAnsi="Times New Roman"/>
          <w:b/>
          <w:i w:val="false"/>
          <w:color w:val="000000"/>
          <w:sz w:val="22"/>
        </w:rPr>
        <w:t xml:space="preserve">(89) </w:t>
      </w:r>
      <w:r>
        <w:rPr>
          <w:rFonts w:ascii="Times New Roman" w:hAnsi="Times New Roman"/>
          <w:b/>
          <w:i w:val="false"/>
          <w:color w:val="000000"/>
          <w:sz w:val="22"/>
        </w:rPr>
        <w:t xml:space="preserve">Preinspection owner or user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objects. </w:t>
      </w:r>
      <w:r>
        <w:rPr>
          <w:rFonts w:ascii="Times New Roman" w:hAnsi="Times New Roman"/>
          <w:b w:val="false"/>
          <w:i w:val="false"/>
          <w:color w:val="000000"/>
          <w:sz w:val="22"/>
        </w:rPr>
        <w:t xml:space="preserve">Each owner or user shall ensure that each object covered by Iowa Code chapter </w:t>
      </w:r>
      <w:hyperlink r:id="rId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is prepared for inspection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color w:val="000000"/>
          <w:sz w:val="22"/>
        </w:rPr>
        <w:t xml:space="preserve">Confined space and lockout, tagout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owner or user to assess all objects for compliance with the confined space and lockout, tagout standards pursuant to 29 CFR 1910.146 and 1910.147. If an object is a non-permit-required confined space or a permit-required confined space as defined by 29 CFR 1910.146, the owner or user must comply with all applicable requirements of 29 CFR 1910.146 and 1910.147 in preparing the object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duty of the owner or user to inform any inspector of the owner’s or user’s confined space entry and lockout, tagout procedures and supply to the inspector all information necessary to assess whether the confined space is safe for entry. It is the right of an inspector to verify any of the information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requirements of 29 CFR 1910.146 and 1910.147 are not met, the inspector shall not enter the space. If there is a breach of the procedure or the procedure is inconsistent with 29 CFR 1910.146 or 1910.147, the inspection process shall cease until the space is reassessed and determined to be safe or the procedure is rewritten in a manner consistent with the standards. No inspector shall violate the owner’s or user’s confined space or lockout, tagout procedures in making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user shall have all objects locked and tagged, as applicable, prior to the inspector’s entry for inspection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entry into a permit-required confined space, the owner or user shall provide the necessary equipment such as air monitors and a qualified attendant who has received all the information relevant to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90.5(3)</w:t>
      </w:r>
      <w:r>
        <w:rPr>
          <w:rFonts w:ascii="Times New Roman" w:hAnsi="Times New Roman"/>
          <w:b w:val="false"/>
          <w:i w:val="false"/>
          <w:color w:val="000000"/>
          <w:sz w:val="22"/>
        </w:rPr>
        <w:t> </w:t>
      </w:r>
      <w:r>
        <w:rPr>
          <w:rFonts w:ascii="Times New Roman" w:hAnsi="Times New Roman"/>
          <w:b w:val="false"/>
          <w:i/>
          <w:color w:val="000000"/>
          <w:sz w:val="22"/>
        </w:rPr>
        <w:t xml:space="preserve">Hydrostatic tests. </w:t>
      </w:r>
      <w:r>
        <w:rPr>
          <w:rFonts w:ascii="Times New Roman" w:hAnsi="Times New Roman"/>
          <w:b w:val="false"/>
          <w:i w:val="false"/>
          <w:color w:val="000000"/>
          <w:sz w:val="22"/>
        </w:rPr>
        <w:t>The owner or user shall prepare for and apply a hydrostatic test, whenever necessary, on the date specified by the inspector, which date shall be not less than seven days after the date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90.5(4)</w:t>
      </w:r>
      <w:r>
        <w:rPr>
          <w:rFonts w:ascii="Times New Roman" w:hAnsi="Times New Roman"/>
          <w:b w:val="false"/>
          <w:i w:val="false"/>
          <w:color w:val="000000"/>
          <w:sz w:val="22"/>
        </w:rPr>
        <w:t> </w:t>
      </w:r>
      <w:r>
        <w:rPr>
          <w:rFonts w:ascii="Times New Roman" w:hAnsi="Times New Roman"/>
          <w:b w:val="false"/>
          <w:i/>
          <w:color w:val="000000"/>
          <w:sz w:val="22"/>
        </w:rPr>
        <w:t xml:space="preserve">Boilers. </w:t>
      </w:r>
      <w:r>
        <w:rPr>
          <w:rFonts w:ascii="Times New Roman" w:hAnsi="Times New Roman"/>
          <w:b w:val="false"/>
          <w:i w:val="false"/>
          <w:color w:val="000000"/>
          <w:sz w:val="22"/>
        </w:rPr>
        <w:t>A boiler shall be prepared for internal inspection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Fluid shall be drawn off and the boiler washed thoroughly.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Manhole and handhole plates, washout plugs and inspection plugs in water columns shall be removed as required by the inspector. The furnace and combustion chambers shall be thoroughly cooled and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grates of internally fired boilers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Brickwork shall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Low-water fuel cutoff controls shall be opened or removed to allow for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90.5(5)</w:t>
      </w:r>
      <w:r>
        <w:rPr>
          <w:rFonts w:ascii="Times New Roman" w:hAnsi="Times New Roman"/>
          <w:b w:val="false"/>
          <w:i w:val="false"/>
          <w:color w:val="000000"/>
          <w:sz w:val="22"/>
        </w:rPr>
        <w:t> </w:t>
      </w:r>
      <w:r>
        <w:rPr>
          <w:rFonts w:ascii="Times New Roman" w:hAnsi="Times New Roman"/>
          <w:b w:val="false"/>
          <w:i/>
          <w:color w:val="000000"/>
          <w:sz w:val="22"/>
        </w:rPr>
        <w:t xml:space="preserve">Pressure vessels. </w:t>
      </w:r>
      <w:r>
        <w:rPr>
          <w:rFonts w:ascii="Times New Roman" w:hAnsi="Times New Roman"/>
          <w:b w:val="false"/>
          <w:i w:val="false"/>
          <w:color w:val="000000"/>
          <w:sz w:val="22"/>
        </w:rPr>
        <w:t>The extent of inspection preparation for a pressure vessel will vary. If the inspection is to be external only, advance preparation is not required other than to afford reasonable access to the vessel. For combined internal and external inspections of small vessels of simple construction handling air, steam, nontoxic or nonexplosive gases or vapors, minor preparation is required, including affording reasonable means of access and removing manhole plates and inspection openings. In other cases, preparation shall include removing the internal fittings and appurtenances to permit satisfactory inspection of the interior of the vessel if required by the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w:t>
      </w:r>
      <w:r>
        <w:rPr>
          <w:rFonts w:ascii="Times New Roman" w:hAnsi="Times New Roman"/>
          <w:b w:val="false"/>
          <w:i w:val="false"/>
          <w:color w:val="000000"/>
          <w:sz w:val="22"/>
        </w:rPr>
        <w:t> </w:t>
      </w:r>
      <w:r>
        <w:rPr>
          <w:rFonts w:ascii="Times New Roman" w:hAnsi="Times New Roman"/>
          <w:b w:val="false"/>
          <w:i/>
          <w:color w:val="000000"/>
          <w:sz w:val="22"/>
        </w:rPr>
        <w:t xml:space="preserve">Removal of covering or brickwork to permit inspection. </w:t>
      </w:r>
      <w:r>
        <w:rPr>
          <w:rFonts w:ascii="Times New Roman" w:hAnsi="Times New Roman"/>
          <w:b w:val="false"/>
          <w:i w:val="false"/>
          <w:color w:val="000000"/>
          <w:sz w:val="22"/>
        </w:rPr>
        <w:t>If the object is jacketed so that the longitudinal seams of shells, drums, or domes cannot be seen, sufficient jacketing, setting wall, or other form of casing or housing shall be removed to permit reasonable inspection of the seams and so that the size of rivets, pitch of the rivets, and other data necessary to determine the safety of the object may be obtained, providing the information cannot be determined by other means. Brickwork shall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90.5(7)</w:t>
      </w:r>
      <w:r>
        <w:rPr>
          <w:rFonts w:ascii="Times New Roman" w:hAnsi="Times New Roman"/>
          <w:b w:val="false"/>
          <w:i w:val="false"/>
          <w:color w:val="000000"/>
          <w:sz w:val="22"/>
        </w:rPr>
        <w:t> </w:t>
      </w:r>
      <w:r>
        <w:rPr>
          <w:rFonts w:ascii="Times New Roman" w:hAnsi="Times New Roman"/>
          <w:b w:val="false"/>
          <w:i/>
          <w:color w:val="000000"/>
          <w:sz w:val="22"/>
        </w:rPr>
        <w:t xml:space="preserve">Improper preparation for inspection. </w:t>
      </w:r>
      <w:r>
        <w:rPr>
          <w:rFonts w:ascii="Times New Roman" w:hAnsi="Times New Roman"/>
          <w:b w:val="false"/>
          <w:i w:val="false"/>
          <w:color w:val="000000"/>
          <w:sz w:val="22"/>
        </w:rPr>
        <w:t>If an object has not been properly prepared for an internal inspection, or if the owner or user fails to comply with the requirements for hydrostatic tests as set forth in this chapter, the inspector may decline to make the inspection or test, and the inspection certificate shall be withheld until the owner or user complies with the requirements.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