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875—90.3</w:t>
      </w:r>
      <w:r>
        <w:rPr>
          <w:rFonts w:ascii="Times New Roman" w:hAnsi="Times New Roman"/>
          <w:b/>
          <w:i w:val="false"/>
          <w:color w:val="000000"/>
          <w:sz w:val="22"/>
        </w:rPr>
        <w:t xml:space="preserve">(89) </w:t>
      </w:r>
      <w:r>
        <w:rPr>
          <w:rFonts w:ascii="Times New Roman" w:hAnsi="Times New Roman"/>
          <w:b/>
          <w:i w:val="false"/>
          <w:color w:val="000000"/>
          <w:sz w:val="22"/>
        </w:rPr>
        <w:t xml:space="preserve">Iowa identification numbers. </w:t>
      </w:r>
      <w:r>
        <w:rPr>
          <w:rFonts w:ascii="Times New Roman" w:hAnsi="Times New Roman"/>
          <w:b w:val="false"/>
          <w:i w:val="false"/>
          <w:color w:val="000000"/>
          <w:sz w:val="22"/>
        </w:rPr>
        <w:t>All objects shall be identified by an Iowa identification number. State inspectors and special inspectors shall assign identification numbers as directed by the division to all jurisdictional objects that lack numbers. Identification numbers shall be attached in plain view to the object using one of the following methods:</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 yellow sticker 2 inches by 3 inches affixed to the object and bearing the number.</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A metal tag 1 inch by 2½ inches affixed to the object and bearing the number.</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Numbers at least 5/16 of an inch high and stamped directly on the object.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