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prior to installation.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Written notice of intent to install objects subject to the jurisdiction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provided to the labor commissioner at least ten days before installation. Written notice shall be accomplished by completing and submitting to the labor commissioner either: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form designated by the labor commissioner, or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National Board’s Boiler Installation Report, I-1.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