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875—90.12</w:t>
      </w:r>
      <w:r>
        <w:rPr>
          <w:rFonts w:ascii="Times New Roman" w:hAnsi="Times New Roman"/>
          <w:b/>
          <w:i w:val="false"/>
          <w:color w:val="000000"/>
          <w:sz w:val="22"/>
        </w:rPr>
        <w:t xml:space="preserve">(89) </w:t>
      </w:r>
      <w:r>
        <w:rPr>
          <w:rFonts w:ascii="Times New Roman" w:hAnsi="Times New Roman"/>
          <w:b/>
          <w:i w:val="false"/>
          <w:color w:val="000000"/>
          <w:sz w:val="22"/>
        </w:rPr>
        <w:t xml:space="preserve">Publications available for review.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89.5(3)</w:t>
        </w:r>
      </w:hyperlink>
      <w:r>
        <w:rPr>
          <w:rFonts w:ascii="Times New Roman" w:hAnsi="Times New Roman"/>
          <w:b w:val="false"/>
          <w:i w:val="false"/>
          <w:color w:val="000000"/>
          <w:sz w:val="22"/>
        </w:rPr>
        <w:t>, the standards, codes, and publications adopted by reference in these rules are available for review in the office of the Division of Labor Services, 150 Des Moines Street, Des Moines, Iowa.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