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875—90.11</w:t>
      </w:r>
      <w:r>
        <w:rPr>
          <w:rFonts w:ascii="Times New Roman" w:hAnsi="Times New Roman"/>
          <w:b/>
          <w:i w:val="false"/>
          <w:color w:val="000000"/>
          <w:sz w:val="22"/>
        </w:rPr>
        <w:t xml:space="preserve">(89) </w:t>
      </w:r>
      <w:r>
        <w:rPr>
          <w:rFonts w:ascii="Times New Roman" w:hAnsi="Times New Roman"/>
          <w:b/>
          <w:i w:val="false"/>
          <w:color w:val="000000"/>
          <w:sz w:val="22"/>
        </w:rPr>
        <w:t xml:space="preserve">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90.11(1)</w:t>
      </w:r>
      <w:r>
        <w:rPr>
          <w:rFonts w:ascii="Times New Roman" w:hAnsi="Times New Roman"/>
          <w:b w:val="false"/>
          <w:i w:val="false"/>
          <w:color w:val="000000"/>
          <w:sz w:val="22"/>
        </w:rPr>
        <w:t> </w:t>
      </w:r>
      <w:r>
        <w:rPr>
          <w:rFonts w:ascii="Times New Roman" w:hAnsi="Times New Roman"/>
          <w:b w:val="false"/>
          <w:i/>
          <w:color w:val="000000"/>
          <w:sz w:val="22"/>
        </w:rPr>
        <w:t xml:space="preserve">Control and safety device reports. </w:t>
      </w:r>
      <w:r>
        <w:rPr>
          <w:rFonts w:ascii="Times New Roman" w:hAnsi="Times New Roman"/>
          <w:b w:val="false"/>
          <w:i w:val="false"/>
          <w:color w:val="000000"/>
          <w:sz w:val="22"/>
        </w:rPr>
        <w:t>Documentation required by this subrule shall be kept on site and shall be available for inspection by the division or special inspectors. The owner or user shall mail a copy of the documentation required by this subrule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requirements of this subrule do not apply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7/18/18</w:t>
      </w:r>
      <w:r>
        <w:rPr>
          <w:rFonts w:ascii="Times New Roman" w:hAnsi="Times New Roman"/>
          <w:b w:val="false"/>
          <w:i w:val="false"/>
          <w:color w:val="000000"/>
          <w:sz w:val="22"/>
        </w:rPr>
        <w:t>, effective 9/1/18.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object within the scope of </w:t>
      </w:r>
      <w:hyperlink r:id="rId4">
        <w:r>
          <w:rPr>
            <w:rStyle w:val="Hyperlink"/>
            <w:rFonts w:ascii="Times New Roman" w:hAnsi="Times New Roman"/>
            <w:b w:val="false"/>
            <w:i w:val="false"/>
            <w:color w:val="000000"/>
            <w:sz w:val="22"/>
          </w:rPr>
          <w:t>875—Chapter 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hot water supply boiler covered by ASME Section IV, Part HLW;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boiler with a fuel input rating greater than or equal to 12,500,000 Btu per hour, falling within the scope of NFPA 85, Boiler and Combustion Systems Hazards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installer shall complete a CSD-1 report for each installed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 installs a new burner, new gas train, or new controller on an object shall complete a CSD-1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who replaces a part or component of an object shall complete the relevant portions of the CSD-1 report unless the replacement satisfies the design specifications. A copy of an invoice containing the same information as the relevant portions of the CSD-1 report is an acceptable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90.11(2)</w:t>
      </w:r>
      <w:r>
        <w:rPr>
          <w:rFonts w:ascii="Times New Roman" w:hAnsi="Times New Roman"/>
          <w:b w:val="false"/>
          <w:i w:val="false"/>
          <w:color w:val="000000"/>
          <w:sz w:val="22"/>
        </w:rPr>
        <w:t> </w:t>
      </w:r>
      <w:r>
        <w:rPr>
          <w:rFonts w:ascii="Times New Roman" w:hAnsi="Times New Roman"/>
          <w:b w:val="false"/>
          <w:i/>
          <w:color w:val="000000"/>
          <w:sz w:val="22"/>
        </w:rPr>
        <w:t xml:space="preserve">Reporting repairs and alterations. </w:t>
      </w:r>
      <w:r>
        <w:rPr>
          <w:rFonts w:ascii="Times New Roman" w:hAnsi="Times New Roman"/>
          <w:b w:val="false"/>
          <w:i w:val="false"/>
          <w:color w:val="000000"/>
          <w:sz w:val="22"/>
        </w:rPr>
        <w:t xml:space="preserve">If the National Board Inspection Code requires that an R-1 Report of Repair or an R-2 Report of Alteration be filed with the National Board, a copy of the National Board form must be simultaneously filed with the labor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90.11(3)</w:t>
      </w:r>
      <w:r>
        <w:rPr>
          <w:rFonts w:ascii="Times New Roman" w:hAnsi="Times New Roman"/>
          <w:b w:val="false"/>
          <w:i w:val="false"/>
          <w:color w:val="000000"/>
          <w:sz w:val="22"/>
        </w:rPr>
        <w:t> </w:t>
      </w:r>
      <w:r>
        <w:rPr>
          <w:rFonts w:ascii="Times New Roman" w:hAnsi="Times New Roman"/>
          <w:b w:val="false"/>
          <w:i/>
          <w:color w:val="000000"/>
          <w:sz w:val="22"/>
        </w:rPr>
        <w:t xml:space="preserve">Reporting explosions and other incidents.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definitions apply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“Incident” </w:t>
      </w:r>
      <w:r>
        <w:rPr>
          <w:rFonts w:ascii="Times New Roman" w:hAnsi="Times New Roman"/>
          <w:b w:val="false"/>
          <w:i w:val="false"/>
          <w:color w:val="000000"/>
          <w:sz w:val="22"/>
        </w:rPr>
        <w:t>means the explosion of a covered object or other failure of a component of a covered object causing injury or acute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“Injury” </w:t>
      </w:r>
      <w:r>
        <w:rPr>
          <w:rFonts w:ascii="Times New Roman" w:hAnsi="Times New Roman"/>
          <w:b w:val="false"/>
          <w:i w:val="false"/>
          <w:color w:val="000000"/>
          <w:sz w:val="22"/>
        </w:rPr>
        <w:t>means a personal injury requiring professional medical care or causing disability exceeding one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or user of a covered object shall notify the commissioner of an incident. A special inspector investigating an incident shall notify the owner or user of this reporting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Incident reports shall be made by calling (515)725-5609 or (515)725-5610. If the incident occurs during normal division operating hours, notification shall occur before close of business on that day. If the incident occurs when the division office is closed, the notification shall occur no later than close of business on the next division business day. Division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except state holidays.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the request of the commissioner, a person who submits a report pursuant to this subrule shall also submit a written report that includes the state identification number of the object, name of the owner of the object, and description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removal of any part of the damaged object from the premises is forbidden until permission to do so is granted by the state inspector or special inspector who investigated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an incident involves the failure or destruction of any part of the object, the use of the object is forbidden until it has been made safe and it has passed an inspection by the state inspector or special inspector who investigated the incident.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2589C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 xml:space="preserve">; </w:t>
      </w:r>
      <w:r>
        <w:rPr>
          <w:rFonts w:ascii="Times New Roman" w:hAnsi="Times New Roman"/>
          <w:b/>
          <w:i w:val="false"/>
          <w:color w:val="000000"/>
          <w:sz w:val="16"/>
        </w:rPr>
        <w:t>ARC 3903C</w:t>
      </w:r>
      <w:r>
        <w:rPr>
          <w:rFonts w:ascii="Times New Roman" w:hAnsi="Times New Roman"/>
          <w:b w:val="false"/>
          <w:i w:val="false"/>
          <w:color w:val="000000"/>
          <w:sz w:val="16"/>
        </w:rPr>
        <w:t>, IAB 7/18/18, effective 9/1/18</w:t>
      </w:r>
      <w:r>
        <w:rPr>
          <w:rFonts w:ascii="Times New Roman" w:hAnsi="Times New Roman"/>
          <w:b w:val="false"/>
          <w:i w:val="false"/>
          <w:color w:val="000000"/>
          <w:sz w:val="16"/>
        </w:rPr>
        <w:t xml:space="preserve">; </w:t>
      </w:r>
      <w:r>
        <w:rPr>
          <w:rFonts w:ascii="Times New Roman" w:hAnsi="Times New Roman"/>
          <w:b/>
          <w:i w:val="false"/>
          <w:color w:val="000000"/>
          <w:sz w:val="16"/>
        </w:rPr>
        <w:t>ARC 4733C</w:t>
      </w:r>
      <w:r>
        <w:rPr>
          <w:rFonts w:ascii="Times New Roman" w:hAnsi="Times New Roman"/>
          <w:b w:val="false"/>
          <w:i w:val="false"/>
          <w:color w:val="000000"/>
          <w:sz w:val="16"/>
        </w:rPr>
        <w:t>, IAB 10/23/19, effective 11/27/19</w:t>
      </w:r>
      <w:r>
        <w:rPr>
          <w:rFonts w:ascii="Times New Roman" w:hAnsi="Times New Roman"/>
          <w:b w:val="false"/>
          <w:i w:val="false"/>
          <w:color w:val="000000"/>
          <w:sz w:val="16"/>
        </w:rPr>
        <w:t xml:space="preserve">; </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875.96.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