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875—85.9</w:t>
      </w:r>
      <w:r>
        <w:rPr>
          <w:rFonts w:ascii="Times New Roman" w:hAnsi="Times New Roman"/>
          <w:b/>
          <w:i w:val="false"/>
          <w:color w:val="000000"/>
          <w:sz w:val="22"/>
        </w:rPr>
        <w:t xml:space="preserve">(17A,89) </w:t>
      </w:r>
      <w:r>
        <w:rPr>
          <w:rFonts w:ascii="Times New Roman" w:hAnsi="Times New Roman"/>
          <w:b/>
          <w:i w:val="false"/>
          <w:color w:val="000000"/>
          <w:sz w:val="22"/>
        </w:rPr>
        <w:t xml:space="preserve">Routine use. </w:t>
      </w:r>
      <w:r>
        <w:rPr>
          <w:rFonts w:ascii="Times New Roman" w:hAnsi="Times New Roman"/>
          <w:b w:val="false"/>
          <w:i w:val="false"/>
          <w:color w:val="000000"/>
          <w:sz w:val="22"/>
        </w:rPr>
        <w:t xml:space="preserve">“Routine use” means the disclosure of a record without the consent of the subject or subjects for a purpose which is compatible with the purpose for which the record was collected. “Routine use” includes disclosures required to be made by statute other than the public records law, Iowa Code chapter </w:t>
      </w:r>
      <w:hyperlink r:id="rId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To the extent allowed by law, the following uses are considered routine uses of all board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85.9(1)</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board who have a need for the record in the performance of their duties. The custodian of the record may, upon request of any officer or employee, or on the custodian’s own initiative, determine what constitutes a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85.9(2)</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85.9(3)</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85.9(4)</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board,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85.9(5)</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board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85.9(6)</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85.9(7)</w:t>
      </w:r>
      <w:r>
        <w:rPr>
          <w:rFonts w:ascii="Times New Roman" w:hAnsi="Times New Roman"/>
          <w:b w:val="false"/>
          <w:i w:val="false"/>
          <w:color w:val="000000"/>
          <w:sz w:val="22"/>
        </w:rPr>
        <w:t> </w:t>
      </w:r>
      <w:r>
        <w:rPr>
          <w:rFonts w:ascii="Times New Roman" w:hAnsi="Times New Roman"/>
          <w:b w:val="false"/>
          <w:i w:val="false"/>
          <w:color w:val="000000"/>
          <w:sz w:val="22"/>
        </w:rPr>
        <w:t>Disclosure to the public and news media of pleadings, motions, orders, final decisions, and informal settlement filed in appeal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85.9(8)</w:t>
      </w:r>
      <w:r>
        <w:rPr>
          <w:rFonts w:ascii="Times New Roman" w:hAnsi="Times New Roman"/>
          <w:b w:val="false"/>
          <w:i w:val="false"/>
          <w:color w:val="000000"/>
          <w:sz w:val="22"/>
        </w:rPr>
        <w:t> </w:t>
      </w:r>
      <w:r>
        <w:rPr>
          <w:rFonts w:ascii="Times New Roman" w:hAnsi="Times New Roman"/>
          <w:b w:val="false"/>
          <w:i w:val="false"/>
          <w:color w:val="000000"/>
          <w:sz w:val="22"/>
        </w:rPr>
        <w:t xml:space="preserve">Transmittal to the district court of the record in judicial review proceedings pursuant to Iowa Code section </w:t>
      </w:r>
      <w:hyperlink r:id="rId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pdf" Type="http://schemas.openxmlformats.org/officeDocument/2006/relationships/hyperlink" Id="rId4"/>
    <Relationship TargetMode="External" Target="https://www.legis.iowa.gov/docs/ico/chapter/17A.19.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