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875—85.8</w:t>
      </w:r>
      <w:r>
        <w:rPr>
          <w:rFonts w:ascii="Times New Roman" w:hAnsi="Times New Roman"/>
          <w:b/>
          <w:i w:val="false"/>
          <w:color w:val="000000"/>
          <w:sz w:val="22"/>
        </w:rPr>
        <w:t xml:space="preserve">(22,89)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4">
        <w:r>
          <w:rPr>
            <w:rStyle w:val="Hyperlink"/>
            <w:rFonts w:ascii="Times New Roman" w:hAnsi="Times New Roman"/>
            <w:b w:val="false"/>
            <w:i w:val="false"/>
            <w:color w:val="000000"/>
            <w:sz w:val="22"/>
          </w:rPr>
          <w:t>875—85.9</w:t>
        </w:r>
      </w:hyperlink>
      <w:r>
        <w:rPr>
          <w:rFonts w:ascii="Times New Roman" w:hAnsi="Times New Roman"/>
          <w:b w:val="false"/>
          <w:i w:val="false"/>
          <w:color w:val="000000"/>
          <w:sz w:val="22"/>
        </w:rPr>
        <w:t>(17A,89)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board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the government agency or instrumentality has submitted a written request to the board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85.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