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875—85.3</w:t>
      </w:r>
      <w:r>
        <w:rPr>
          <w:rFonts w:ascii="Times New Roman" w:hAnsi="Times New Roman"/>
          <w:b/>
          <w:i w:val="false"/>
          <w:color w:val="000000"/>
          <w:sz w:val="22"/>
        </w:rPr>
        <w:t xml:space="preserve">(22,89)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85.3(1)</w:t>
      </w:r>
      <w:r>
        <w:rPr>
          <w:rFonts w:ascii="Times New Roman" w:hAnsi="Times New Roman"/>
          <w:b w:val="false"/>
          <w:i w:val="false"/>
          <w:color w:val="000000"/>
          <w:sz w:val="22"/>
        </w:rPr>
        <w:t> </w:t>
      </w:r>
      <w:r>
        <w:rPr>
          <w:rFonts w:ascii="Times New Roman" w:hAnsi="Times New Roman"/>
          <w:b w:val="false"/>
          <w:i/>
          <w:color w:val="000000"/>
          <w:sz w:val="22"/>
        </w:rPr>
        <w:t xml:space="preserve">Address. </w:t>
      </w:r>
      <w:r>
        <w:rPr>
          <w:rFonts w:ascii="Times New Roman" w:hAnsi="Times New Roman"/>
          <w:b w:val="false"/>
          <w:i w:val="false"/>
          <w:color w:val="000000"/>
          <w:sz w:val="22"/>
        </w:rPr>
        <w:t xml:space="preserve">The board’s address is Boiler and Pressure Vessel Board, Department of Workforce Development, Division of Labor Services, 150 Des Moines Street, Des Moines, Iowa 50309.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Open records shall be made available during all customary office hours, which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excluding state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85.3(3)</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w:t>
      </w:r>
      <w:r>
        <w:rPr>
          <w:rFonts w:ascii="Times New Roman" w:hAnsi="Times New Roman"/>
          <w:b w:val="false"/>
          <w:i w:val="false"/>
          <w:color w:val="000000"/>
          <w:sz w:val="22"/>
        </w:rPr>
        <w:t xml:space="preserve">Requests for access to open records may be made in writing, in person, by facsimile, email, or other electronic means, or by telephone. Requests shall identify the particular records sought by name or description in order to facilitate the location of the record. Mail, electronic, or telephone requests shall include the name, address, and telephone number of the person requesting the information to facilitate the board’s response. A person shall not be required to give a reason for requesting an open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85.3(4)</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requests. </w:t>
      </w:r>
      <w:r>
        <w:rPr>
          <w:rFonts w:ascii="Times New Roman" w:hAnsi="Times New Roman"/>
          <w:b w:val="false"/>
          <w:i w:val="false"/>
          <w:color w:val="000000"/>
          <w:sz w:val="22"/>
        </w:rPr>
        <w:t xml:space="preserve">Access to an open record shall be provided promptly upon request unless the size or nature of the request makes prompt access infeasible. If the size or nature of the request for access to an open record requires time for compliance, the custodian shall comply with the request as soon as feasible. Access to an open record may be delayed for one of the purposes authorized by Iowa Code section </w:t>
      </w:r>
      <w:hyperlink r:id="rId4">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or </w:t>
      </w:r>
      <w:hyperlink r:id="rId5">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The custodian shall promptly give notice to the requester of the reason for any delay in access to an open record and an estimate of the length of that delay and, upon request, shall promptly provide that notice to the requester in writing.</w:t>
      </w:r>
    </w:p>
    <w:p>
      <w:pPr>
        <w:spacing w:before="0" w:after="0"/>
        <w:ind w:left="120"/>
        <w:jc w:val="both"/>
      </w:pPr>
      <w:r>
        <w:rPr>
          <w:rFonts w:ascii="Times New Roman" w:hAnsi="Times New Roman"/>
          <w:b w:val="false"/>
          <w:i w:val="false"/>
          <w:color w:val="000000"/>
          <w:sz w:val="22"/>
        </w:rPr>
        <w:t xml:space="preserve">The custodian of a record may deny access to the record by members of the public only on the grounds that such a denial is warranted under Iowa Code sections </w:t>
      </w:r>
      <w:hyperlink r:id="rId6">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xml:space="preserve">, or that it is a confidential record, or that its disclosure is prohibited by a court order. Access by members of the public to a confidential record is limited by law and, therefore, may generally be provided only in accordance with the provisions of rule </w:t>
      </w:r>
      <w:hyperlink r:id="rId8">
        <w:r>
          <w:rPr>
            <w:rStyle w:val="Hyperlink"/>
            <w:rFonts w:ascii="Times New Roman" w:hAnsi="Times New Roman"/>
            <w:b w:val="false"/>
            <w:i w:val="false"/>
            <w:color w:val="000000"/>
            <w:sz w:val="22"/>
          </w:rPr>
          <w:t>875—85.4</w:t>
        </w:r>
      </w:hyperlink>
      <w:r>
        <w:rPr>
          <w:rFonts w:ascii="Times New Roman" w:hAnsi="Times New Roman"/>
          <w:b w:val="false"/>
          <w:i w:val="false"/>
          <w:color w:val="000000"/>
          <w:sz w:val="22"/>
        </w:rPr>
        <w:t>(22,89) in this chapter and other applicable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85.3(5)</w:t>
      </w:r>
      <w:r>
        <w:rPr>
          <w:rFonts w:ascii="Times New Roman" w:hAnsi="Times New Roman"/>
          <w:b w:val="false"/>
          <w:i w:val="false"/>
          <w:color w:val="000000"/>
          <w:sz w:val="22"/>
        </w:rPr>
        <w:t> </w:t>
      </w:r>
      <w:r>
        <w:rPr>
          <w:rFonts w:ascii="Times New Roman" w:hAnsi="Times New Roman"/>
          <w:b w:val="false"/>
          <w:i/>
          <w:color w:val="000000"/>
          <w:sz w:val="22"/>
        </w:rPr>
        <w:t xml:space="preserve">Security of record. </w:t>
      </w:r>
      <w:r>
        <w:rPr>
          <w:rFonts w:ascii="Times New Roman" w:hAnsi="Times New Roman"/>
          <w:b w:val="false"/>
          <w:i w:val="false"/>
          <w:color w:val="000000"/>
          <w:sz w:val="22"/>
        </w:rPr>
        <w:t>No person may, without permission from the custodian, search or remove any record from board files. Examination and copying of board records shall be supervised by the custodian or a designee of the custodian. Records shall be protected from damage and disorganization.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85.3(6)</w:t>
      </w:r>
      <w:r>
        <w:rPr>
          <w:rFonts w:ascii="Times New Roman" w:hAnsi="Times New Roman"/>
          <w:b w:val="false"/>
          <w:i w:val="false"/>
          <w:color w:val="000000"/>
          <w:sz w:val="22"/>
        </w:rPr>
        <w:t> </w:t>
      </w:r>
      <w:r>
        <w:rPr>
          <w:rFonts w:ascii="Times New Roman" w:hAnsi="Times New Roman"/>
          <w:b w:val="false"/>
          <w:i/>
          <w:color w:val="000000"/>
          <w:sz w:val="22"/>
        </w:rPr>
        <w:t xml:space="preserve">Copying. </w:t>
      </w:r>
      <w:r>
        <w:rPr>
          <w:rFonts w:ascii="Times New Roman" w:hAnsi="Times New Roman"/>
          <w:b w:val="false"/>
          <w:i w:val="false"/>
          <w:color w:val="000000"/>
          <w:sz w:val="22"/>
        </w:rPr>
        <w:t>A reasonable number of copies of an open record may be made in the board’s office. If photocopy equipment is not available in the board office where an open record is kept, the custodian shall permit its examination in that office and shall arrange to have copies promptly made elsewhere.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charged. </w:t>
      </w:r>
      <w:r>
        <w:rPr>
          <w:rFonts w:ascii="Times New Roman" w:hAnsi="Times New Roman"/>
          <w:b w:val="false"/>
          <w:i w:val="false"/>
          <w:color w:val="000000"/>
          <w:sz w:val="22"/>
        </w:rPr>
        <w:t>The board may charge fees in connection with the examination or copying of records only if the fees are authorized by law. To the extent permitted by applicable provisions of law, the payment of fees may be waived when the imposition of fees is inequitable or when a waiver is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Copying and postage costs. </w:t>
      </w:r>
      <w:r>
        <w:rPr>
          <w:rFonts w:ascii="Times New Roman" w:hAnsi="Times New Roman"/>
          <w:b w:val="false"/>
          <w:i w:val="false"/>
          <w:color w:val="000000"/>
          <w:sz w:val="22"/>
        </w:rPr>
        <w:t>Price schedules for published materials and for photocopies of records supplied by the board shall be available in board offices. Copies of records may be made by or for members of the public on board photocopy machines or from electronic storage systems at cost as determined and posted in board offices by the custodian. When the mailing of copies of records is requested, the actual costs of such mailing may also be charged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An hourly fee may be charged for actual board expenses in supervising the examination and copying of requested records when the supervision time required is in excess of 15 minutes. The custodian shall prominently post in board offices the hourly fees to be charged for supervision of records during examination and copying. The hourly fee shall be based upon the pay scale of the employee involved and other actual costs incurred. To the extent permitted by law, a search fee may be charged at the same rate as and under the same conditions as are applicable to supervisory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Advance deposits.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estimated total fee chargeable under this subrule exceeds $25, the custodian may require a requester to make an advance payment to cover all or a part of the estimated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requester has previously failed to pay a fee chargeable under this subrule, the custodian may require advance payment of the full amount of any estimated fee before the custodian processes a new request from that requester.</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0319C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 xml:space="preserve">; </w:t>
      </w:r>
      <w:r>
        <w:rPr>
          <w:rFonts w:ascii="Times New Roman" w:hAnsi="Times New Roman"/>
          <w:b/>
          <w:i w:val="false"/>
          <w:color w:val="000000"/>
          <w:sz w:val="16"/>
        </w:rPr>
        <w:t>ARC 3635C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 xml:space="preserve">; </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8.pdf" Type="http://schemas.openxmlformats.org/officeDocument/2006/relationships/hyperlink" Id="rId4"/>
    <Relationship TargetMode="External" Target="https://www.legis.iowa.gov/docs/ico/chapter/22.10.pdf" Type="http://schemas.openxmlformats.org/officeDocument/2006/relationships/hyperlink" Id="rId5"/>
    <Relationship TargetMode="External" Target="https://www.legis.iowa.gov/docs/ico/chapter/22.8.pdf" Type="http://schemas.openxmlformats.org/officeDocument/2006/relationships/hyperlink" Id="rId6"/>
    <Relationship TargetMode="External" Target="https://www.legis.iowa.gov/docs/ico/chapter/22.10.pdf" Type="http://schemas.openxmlformats.org/officeDocument/2006/relationships/hyperlink" Id="rId7"/>
    <Relationship TargetMode="External" Target="https://www.legis.iowa.gov/docs/iac/rule/875.85.4.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