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875—85.2</w:t>
      </w:r>
      <w:r>
        <w:rPr>
          <w:rFonts w:ascii="Times New Roman" w:hAnsi="Times New Roman"/>
          <w:b/>
          <w:i w:val="false"/>
          <w:color w:val="000000"/>
          <w:sz w:val="22"/>
        </w:rPr>
        <w:t xml:space="preserve">(22,89)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and sound board determinations with respect to the handling of confidential records and the implementation of the fair information practices Act. The board is committed to the policies set forth in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board shall cooperate with members of the public in implementing the provisions of that chapter.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