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875—85.14</w:t>
      </w:r>
      <w:r>
        <w:rPr>
          <w:rFonts w:ascii="Times New Roman" w:hAnsi="Times New Roman"/>
          <w:b/>
          <w:i w:val="false"/>
          <w:color w:val="000000"/>
          <w:sz w:val="22"/>
        </w:rPr>
        <w:t xml:space="preserve">(17A,22,89)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This rule describes the nature and extent of personally identifiable information which is collected, maintained, and retrieved by the board by personal identifier in record systems. For each record system, this rule describes the legal authority for the collection of that information. The record systems maintained by the board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85.14(1)</w:t>
      </w:r>
      <w:r>
        <w:rPr>
          <w:rFonts w:ascii="Times New Roman" w:hAnsi="Times New Roman"/>
          <w:b w:val="false"/>
          <w:i w:val="false"/>
          <w:color w:val="000000"/>
          <w:sz w:val="22"/>
        </w:rPr>
        <w:t> </w:t>
      </w:r>
      <w:r>
        <w:rPr>
          <w:rFonts w:ascii="Times New Roman" w:hAnsi="Times New Roman"/>
          <w:b w:val="false"/>
          <w:i/>
          <w:color w:val="000000"/>
          <w:sz w:val="22"/>
        </w:rPr>
        <w:t xml:space="preserve">Personnel records. </w:t>
      </w:r>
      <w:r>
        <w:rPr>
          <w:rFonts w:ascii="Times New Roman" w:hAnsi="Times New Roman"/>
          <w:b w:val="false"/>
          <w:i w:val="false"/>
          <w:color w:val="000000"/>
          <w:sz w:val="22"/>
        </w:rPr>
        <w:t xml:space="preserve">These records contain personal information about board members which may be confidential pursuant to Iowa Code section </w:t>
      </w:r>
      <w:hyperlink r:id="rId4">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 The records may include but are not limited to biographical information, medical information relating to disability, and information required for expense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85.14(2)</w:t>
      </w:r>
      <w:r>
        <w:rPr>
          <w:rFonts w:ascii="Times New Roman" w:hAnsi="Times New Roman"/>
          <w:b w:val="false"/>
          <w:i w:val="false"/>
          <w:color w:val="000000"/>
          <w:sz w:val="22"/>
        </w:rPr>
        <w:t> </w:t>
      </w:r>
      <w:r>
        <w:rPr>
          <w:rFonts w:ascii="Times New Roman" w:hAnsi="Times New Roman"/>
          <w:b w:val="false"/>
          <w:i/>
          <w:color w:val="000000"/>
          <w:sz w:val="22"/>
        </w:rPr>
        <w:t xml:space="preserve">Contested case records. </w:t>
      </w:r>
      <w:r>
        <w:rPr>
          <w:rFonts w:ascii="Times New Roman" w:hAnsi="Times New Roman"/>
          <w:b w:val="false"/>
          <w:i w:val="false"/>
          <w:color w:val="000000"/>
          <w:sz w:val="22"/>
        </w:rPr>
        <w:t xml:space="preserve">Contested case records are maintained and contain names of the people involved. Evidence and documents submitted as a result of a hearing are contained in the contested case records. These records are collected pursuant to Iowa Code section </w:t>
      </w:r>
      <w:hyperlink r:id="rId5">
        <w:r>
          <w:rPr>
            <w:rStyle w:val="Hyperlink"/>
            <w:rFonts w:ascii="Times New Roman" w:hAnsi="Times New Roman"/>
            <w:b w:val="false"/>
            <w:i w:val="false"/>
            <w:color w:val="000000"/>
            <w:sz w:val="22"/>
          </w:rPr>
          <w:t>89.14</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9082B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2.7.pdf" Type="http://schemas.openxmlformats.org/officeDocument/2006/relationships/hyperlink" Id="rId4"/>
    <Relationship TargetMode="External" Target="https://www.legis.iowa.gov/docs/ico/chapter/89.14.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