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875—85.13</w:t>
      </w:r>
      <w:r>
        <w:rPr>
          <w:rFonts w:ascii="Times New Roman" w:hAnsi="Times New Roman"/>
          <w:b/>
          <w:i w:val="false"/>
          <w:color w:val="000000"/>
          <w:sz w:val="22"/>
        </w:rPr>
        <w:t xml:space="preserve">(22,89)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85.13(1)</w:t>
      </w:r>
      <w:r>
        <w:rPr>
          <w:rFonts w:ascii="Times New Roman" w:hAnsi="Times New Roman"/>
          <w:b w:val="false"/>
          <w:i w:val="false"/>
          <w:color w:val="000000"/>
          <w:sz w:val="22"/>
        </w:rPr>
        <w:t> </w:t>
      </w:r>
      <w:r>
        <w:rPr>
          <w:rFonts w:ascii="Times New Roman" w:hAnsi="Times New Roman"/>
          <w:b w:val="false"/>
          <w:i w:val="false"/>
          <w:color w:val="000000"/>
          <w:sz w:val="22"/>
        </w:rPr>
        <w:t>Require the board to index or retrieve records that contain information about individuals by a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under the public records law,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board that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85.13(4)</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85.13(5)</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board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rules of the board.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