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875—85.11</w:t>
      </w:r>
      <w:r>
        <w:rPr>
          <w:rFonts w:ascii="Times New Roman" w:hAnsi="Times New Roman"/>
          <w:b/>
          <w:i w:val="false"/>
          <w:color w:val="000000"/>
          <w:sz w:val="22"/>
        </w:rPr>
        <w:t xml:space="preserve">(22,89)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85.11(1)</w:t>
      </w:r>
      <w:r>
        <w:rPr>
          <w:rFonts w:ascii="Times New Roman" w:hAnsi="Times New Roman"/>
          <w:b w:val="false"/>
          <w:i w:val="false"/>
          <w:color w:val="000000"/>
          <w:sz w:val="22"/>
        </w:rPr>
        <w:t> </w:t>
      </w:r>
      <w:r>
        <w:rPr>
          <w:rFonts w:ascii="Times New Roman" w:hAnsi="Times New Roman"/>
          <w:b w:val="false"/>
          <w:i w:val="false"/>
          <w:color w:val="000000"/>
          <w:sz w:val="22"/>
        </w:rPr>
        <w:t>The subject of a confidential record may file a written request to review confidential records about that person. However, the board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board need not be disclosed directly or indirectly to the subject of the information when the information is authorized to be held confidential pursuant to Iowa Code section </w:t>
      </w:r>
      <w:hyperlink r:id="rId4">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or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need not be disclosed to the subject when they are the work product of an attorney or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Peace officers’ investigative reports may be withheld from the subject, except as required by the Iowa Code. (Iowa Code section </w:t>
      </w:r>
      <w:hyperlink r:id="rId5">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records may be withheld from the subject as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85.11(2)</w:t>
      </w:r>
      <w:r>
        <w:rPr>
          <w:rFonts w:ascii="Times New Roman" w:hAnsi="Times New Roman"/>
          <w:b w:val="false"/>
          <w:i w:val="false"/>
          <w:color w:val="000000"/>
          <w:sz w:val="22"/>
        </w:rPr>
        <w:t> </w:t>
      </w:r>
      <w:r>
        <w:rPr>
          <w:rFonts w:ascii="Times New Roman" w:hAnsi="Times New Roman"/>
          <w:b w:val="false"/>
          <w:i w:val="false"/>
          <w:color w:val="000000"/>
          <w:sz w:val="22"/>
        </w:rPr>
        <w:t>When a record has multiple subjects with interest in the confidentiality of the record, the board may take reasonable steps to protect confidential information relating to another subject.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7.pdf" Type="http://schemas.openxmlformats.org/officeDocument/2006/relationships/hyperlink" Id="rId4"/>
    <Relationship TargetMode="External" Target="https://www.legis.iowa.gov/docs/ico/chapter/22.7.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