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875—85.10</w:t>
      </w:r>
      <w:r>
        <w:rPr>
          <w:rFonts w:ascii="Times New Roman" w:hAnsi="Times New Roman"/>
          <w:b/>
          <w:i w:val="false"/>
          <w:color w:val="000000"/>
          <w:sz w:val="22"/>
        </w:rPr>
        <w:t xml:space="preserve">(22,89)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board disclosure of confidential records as provided in rule </w:t>
      </w:r>
      <w:hyperlink r:id="rId4">
        <w:r>
          <w:rPr>
            <w:rStyle w:val="Hyperlink"/>
            <w:rFonts w:ascii="Times New Roman" w:hAnsi="Times New Roman"/>
            <w:b w:val="false"/>
            <w:i w:val="false"/>
            <w:color w:val="000000"/>
            <w:sz w:val="22"/>
          </w:rPr>
          <w:t>875—85.7</w:t>
        </w:r>
      </w:hyperlink>
      <w:r>
        <w:rPr>
          <w:rFonts w:ascii="Times New Roman" w:hAnsi="Times New Roman"/>
          <w:b w:val="false"/>
          <w:i w:val="false"/>
          <w:color w:val="000000"/>
          <w:sz w:val="22"/>
        </w:rPr>
        <w:t>(22,89).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board may, to the extent permitted by law, be treated as an authorization to release sufficient information about the subject to the official to resolve the matter.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85.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