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875—84.6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 of issues.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Only those issues raised before the commissioner in the petition for reconsideration will be considered preserved for appeal to the board.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