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875—84.5</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Contents of notice. </w:t>
      </w:r>
      <w:r>
        <w:rPr>
          <w:rFonts w:ascii="Times New Roman" w:hAnsi="Times New Roman"/>
          <w:b w:val="false"/>
          <w:i w:val="false"/>
          <w:color w:val="000000"/>
          <w:sz w:val="22"/>
        </w:rPr>
        <w:t>The notice of hearing shall contain a statement of the time, place, and nature of the hearing. The notice shall contain a short and plain statement of the matters asserted. If the board is unable to state the matters in detail at the time the notice is served, the initial notice may be limited to a statement of the issues involved. Thereafter, upon application, a more definite and detailed statement shall be furnished. The notice shall contain a statement that it is the appellant’s burden on appeal to prove compliance with all applicable statutory provisions, administrative rules, and ASME code sections. The notice shall also contain a reference to the applicable statute and rules.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