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Delivery of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Delivery of the notice of hearing by the board constitutes the commencement of a contested case proceeding. Delivery may be executed by regular mail. The notice shall be delivered to the appellant, the appellant’s attorney, if known, and the commissioner.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