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875—84.31</w:t>
      </w:r>
      <w:r>
        <w:rPr>
          <w:rFonts w:ascii="Times New Roman" w:hAnsi="Times New Roman"/>
          <w:b/>
          <w:i w:val="false"/>
          <w:color w:val="000000"/>
          <w:sz w:val="22"/>
        </w:rPr>
        <w:t xml:space="preserve">(17A,89)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Iowa Code section </w:t>
      </w:r>
      <w:hyperlink r:id="rId5">
        <w:r>
          <w:rPr>
            <w:rStyle w:val="Hyperlink"/>
            <w:rFonts w:ascii="Times New Roman" w:hAnsi="Times New Roman"/>
            <w:b w:val="false"/>
            <w:i w:val="false"/>
            <w:color w:val="000000"/>
            <w:sz w:val="22"/>
          </w:rPr>
          <w:t>17A.19(3)</w:t>
        </w:r>
      </w:hyperlink>
      <w:r>
        <w:rPr>
          <w:rFonts w:ascii="Times New Roman" w:hAnsi="Times New Roman"/>
          <w:b w:val="false"/>
          <w:i w:val="false"/>
          <w:color w:val="000000"/>
          <w:sz w:val="22"/>
        </w:rPr>
        <w:t>, if a party does not file a timely application for rehearing, a judicial review petition must be filed with the district court within 30 days after the issuance of the board’s final decision. The board’s final decision is deemed issued on the date it is mailed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does file a timely application for rehearing, a judicial review petition must be filed with the district court within 30 days after the application for rehearing is denied or deemed denied. An application for rehearing is denied or deemed denied as provided in subrule </w:t>
      </w:r>
      <w:hyperlink r:id="rId6">
        <w:r>
          <w:rPr>
            <w:rStyle w:val="Hyperlink"/>
            <w:rFonts w:ascii="Times New Roman" w:hAnsi="Times New Roman"/>
            <w:b w:val="false"/>
            <w:i w:val="false"/>
            <w:color w:val="000000"/>
            <w:sz w:val="22"/>
          </w:rPr>
          <w:t>84.29(5)</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19.pdf" Type="http://schemas.openxmlformats.org/officeDocument/2006/relationships/hyperlink" Id="rId5"/>
    <Relationship TargetMode="External" Target="https://www.legis.iowa.gov/docs/iac/rule/875.84.2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