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875—84.30</w:t>
      </w:r>
      <w:r>
        <w:rPr>
          <w:rFonts w:ascii="Times New Roman" w:hAnsi="Times New Roman"/>
          <w:b/>
          <w:i w:val="false"/>
          <w:color w:val="000000"/>
          <w:sz w:val="22"/>
        </w:rPr>
        <w:t xml:space="preserve">(17A,89) </w:t>
      </w:r>
      <w:r>
        <w:rPr>
          <w:rFonts w:ascii="Times New Roman" w:hAnsi="Times New Roman"/>
          <w:b/>
          <w:i w:val="false"/>
          <w:color w:val="000000"/>
          <w:sz w:val="22"/>
        </w:rPr>
        <w:t xml:space="preserve">Stays of board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84.30(1)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The petition shall be filed with the notice of appeal and shall state the reasons justifying a stay or other temporary remedy. The board may rule on the stay or authorize the administrative law judge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board for a stay or other temporary remedies, pending judicial review of all or part of that proceeding.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84.30(2)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board shall consider the factors listed in Iowa Code section </w:t>
      </w:r>
      <w:hyperlink r:id="rId4">
        <w:r>
          <w:rPr>
            <w:rStyle w:val="Hyperlink"/>
            <w:rFonts w:ascii="Times New Roman" w:hAnsi="Times New Roman"/>
            <w:b w:val="false"/>
            <w:i w:val="false"/>
            <w:color w:val="000000"/>
            <w:sz w:val="22"/>
          </w:rPr>
          <w:t>17A.19(5)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84.30(3)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of the board or any other party.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