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875—84.28</w:t>
      </w:r>
      <w:r>
        <w:rPr>
          <w:rFonts w:ascii="Times New Roman" w:hAnsi="Times New Roman"/>
          <w:b/>
          <w:i w:val="false"/>
          <w:color w:val="000000"/>
          <w:sz w:val="22"/>
        </w:rPr>
        <w:t xml:space="preserve">(17A,89) </w:t>
      </w:r>
      <w:r>
        <w:rPr>
          <w:rFonts w:ascii="Times New Roman" w:hAnsi="Times New Roman"/>
          <w:b/>
          <w:i w:val="false"/>
          <w:color w:val="000000"/>
          <w:sz w:val="22"/>
        </w:rPr>
        <w:t xml:space="preserve">Contested cases with no factual disputes. </w:t>
      </w:r>
      <w:r>
        <w:rPr>
          <w:rFonts w:ascii="Times New Roman" w:hAnsi="Times New Roman"/>
          <w:b w:val="false"/>
          <w:i w:val="false"/>
          <w:color w:val="000000"/>
          <w:sz w:val="22"/>
        </w:rPr>
        <w:t>If the parties agree that no dispute of material fact exists as to a matter that would be a contested case if such a dispute of fact existed, the parties may present all relevant admissible evidence either by stipulation or otherwise as agreed by the parties without necessity for the production of evidence at an evidentiary hearing. If such agreement is reached, a jointly submitted schedule detailing the method and timetable for submission of the record, briefs and oral argument should be submitted to the presiding officer for approval as soon as practicable. If the parties cannot agree, any party may file and serve a motion for summary judgment pursuant to the rules governing such motions.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