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875—84.27</w:t>
      </w:r>
      <w:r>
        <w:rPr>
          <w:rFonts w:ascii="Times New Roman" w:hAnsi="Times New Roman"/>
          <w:b/>
          <w:i w:val="false"/>
          <w:color w:val="000000"/>
          <w:sz w:val="22"/>
        </w:rPr>
        <w:t xml:space="preserve">(17A,89) </w:t>
      </w:r>
      <w:r>
        <w:rPr>
          <w:rFonts w:ascii="Times New Roman" w:hAnsi="Times New Roman"/>
          <w:b/>
          <w:i w:val="false"/>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84.27(1)</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Decisions issued by a panel of less than a quorum of the board or by an administrative law judge are proposed decisions. A proposed decision issued by a panel of the board or an administrative law judge becomes a final decision if not timely appealed by any party or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84.27(2)</w:t>
      </w:r>
      <w:r>
        <w:rPr>
          <w:rFonts w:ascii="Times New Roman" w:hAnsi="Times New Roman"/>
          <w:b w:val="false"/>
          <w:i w:val="false"/>
          <w:color w:val="000000"/>
          <w:sz w:val="22"/>
        </w:rPr>
        <w:t> </w:t>
      </w:r>
      <w:r>
        <w:rPr>
          <w:rFonts w:ascii="Times New Roman" w:hAnsi="Times New Roman"/>
          <w:b w:val="false"/>
          <w:i/>
          <w:color w:val="000000"/>
          <w:sz w:val="22"/>
        </w:rPr>
        <w:t xml:space="preserve">Final decision. </w:t>
      </w:r>
      <w:r>
        <w:rPr>
          <w:rFonts w:ascii="Times New Roman" w:hAnsi="Times New Roman"/>
          <w:b w:val="false"/>
          <w:i w:val="false"/>
          <w:color w:val="000000"/>
          <w:sz w:val="22"/>
        </w:rPr>
        <w:t>When a quorum of the board presides over the reception of evidence at the hearing, the decision is a final decision. A copy of the final decision and order shall immediately be sent by certified mail to the appellant’s last-known post office address or may be served as in the manner of original notices. Copies shall be mailed by interoffice mail or first-class mail to the counsel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84.27(3)</w:t>
      </w:r>
      <w:r>
        <w:rPr>
          <w:rFonts w:ascii="Times New Roman" w:hAnsi="Times New Roman"/>
          <w:b w:val="false"/>
          <w:i w:val="false"/>
          <w:color w:val="000000"/>
          <w:sz w:val="22"/>
        </w:rPr>
        <w:t> </w:t>
      </w:r>
      <w:r>
        <w:rPr>
          <w:rFonts w:ascii="Times New Roman" w:hAnsi="Times New Roman"/>
          <w:b w:val="false"/>
          <w:i/>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board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board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board.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board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board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w:t>
      </w:r>
    </w:p>
    <w:p>
      <w:pPr>
        <w:spacing w:before="0" w:after="0"/>
        <w:ind w:left="120"/>
        <w:jc w:val="both"/>
      </w:pPr>
      <w:r>
        <w:rPr>
          <w:rFonts w:ascii="Times New Roman" w:hAnsi="Times New Roman"/>
          <w:b w:val="false"/>
          <w:i w:val="false"/>
          <w:color w:val="000000"/>
          <w:sz w:val="22"/>
        </w:rPr>
        <w:t>The board may resolve the appeal on the briefs or provide an opportunity for oral argument. The board may shorten or extend the briefing period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The record on appeal or review shall be the entire record made before the hearing panel or administrative law judge.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