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875—84.25</w:t>
      </w:r>
      <w:r>
        <w:rPr>
          <w:rFonts w:ascii="Times New Roman" w:hAnsi="Times New Roman"/>
          <w:b/>
          <w:i w:val="false"/>
          <w:color w:val="000000"/>
          <w:sz w:val="22"/>
        </w:rPr>
        <w:t xml:space="preserve">(17A,89)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rule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84.25(4)</w:t>
      </w:r>
      <w:r>
        <w:rPr>
          <w:rFonts w:ascii="Times New Roman" w:hAnsi="Times New Roman"/>
          <w:b w:val="false"/>
          <w:i w:val="false"/>
          <w:color w:val="000000"/>
          <w:sz w:val="22"/>
        </w:rPr>
        <w:t>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84.25(6)</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the following shall be submitted for inclusion in the record under each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any prohibited written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written responses to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summary stating the substance of any prohibited oral or other communication not available in written form and all responses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each person from whom the presiding officer received a prohibited ex parte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84.25(7)</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4">
        <w:r>
          <w:rPr>
            <w:rStyle w:val="Hyperlink"/>
            <w:rFonts w:ascii="Times New Roman" w:hAnsi="Times New Roman"/>
            <w:b w:val="false"/>
            <w:i w:val="false"/>
            <w:color w:val="000000"/>
            <w:sz w:val="22"/>
          </w:rPr>
          <w:t>17A.13, subsection 2</w:t>
        </w:r>
      </w:hyperlink>
      <w:r>
        <w:rPr>
          <w:rFonts w:ascii="Times New Roman" w:hAnsi="Times New Roman"/>
          <w:b w:val="false"/>
          <w:i w:val="false"/>
          <w:color w:val="000000"/>
          <w:sz w:val="22"/>
        </w:rPr>
        <w:t>,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Violation of ex parte communication prohibitions by staff shall be reported to the board and to the commissioner.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