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875—84.24</w:t>
      </w:r>
      <w:r>
        <w:rPr>
          <w:rFonts w:ascii="Times New Roman" w:hAnsi="Times New Roman"/>
          <w:b/>
          <w:i w:val="false"/>
          <w:color w:val="000000"/>
          <w:sz w:val="22"/>
        </w:rPr>
        <w:t xml:space="preserve">(17A,89)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84.24(1)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rule on admissibility of evidence and may, where appropriate, take official notice of facts in accordance with all applicable requirements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84.24(2)</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84.24(3)</w:t>
      </w:r>
      <w:r>
        <w:rPr>
          <w:rFonts w:ascii="Times New Roman" w:hAnsi="Times New Roman"/>
          <w:b w:val="false"/>
          <w:i w:val="false"/>
          <w:color w:val="000000"/>
          <w:sz w:val="22"/>
        </w:rPr>
        <w:t> </w:t>
      </w:r>
      <w:r>
        <w:rPr>
          <w:rFonts w:ascii="Times New Roman" w:hAnsi="Times New Roman"/>
          <w:b w:val="false"/>
          <w:i w:val="false"/>
          <w:color w:val="000000"/>
          <w:sz w:val="22"/>
        </w:rPr>
        <w:t>Evidence in the proceeding shall be confined to the contested issues as identified in the notice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84.24(4)</w:t>
      </w:r>
      <w:r>
        <w:rPr>
          <w:rFonts w:ascii="Times New Roman" w:hAnsi="Times New Roman"/>
          <w:b w:val="false"/>
          <w:i w:val="false"/>
          <w:color w:val="000000"/>
          <w:sz w:val="22"/>
        </w:rPr>
        <w:t> </w:t>
      </w:r>
      <w:r>
        <w:rPr>
          <w:rFonts w:ascii="Times New Roman" w:hAnsi="Times New Roman"/>
          <w:b w:val="false"/>
          <w:i w:val="false"/>
          <w:color w:val="000000"/>
          <w:sz w:val="22"/>
        </w:rPr>
        <w:t>The party seeking admission of an exhibit must provide opposing parties with an opportunity to examine the exhibit prior to the ruling on its admissibility. Copies of documents should normally be provided to opposing parties. All exhibits admitted into evidence shall be appropriately marked and be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84.24(5)</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specific evidence or may request limits on the scope of any examination or cross-examination. Such an objection shall be accompanied by a brief statement of the grounds upon which it is based. The objection, the ruling on the objection, and the reasons for the ruling shall be noted in the record. The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84.24(6)</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shall briefly summarize the testimony or, with permission of the presiding officer, present the testimony. If the excluded evidence consists of a document or exhibit, it shall be marked as part of an offer of proof and inserted in the record.</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