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875—84.23</w:t>
      </w:r>
      <w:r>
        <w:rPr>
          <w:rFonts w:ascii="Times New Roman" w:hAnsi="Times New Roman"/>
          <w:b/>
          <w:i w:val="false"/>
          <w:color w:val="000000"/>
          <w:sz w:val="22"/>
        </w:rPr>
        <w:t xml:space="preserve">(17A,89)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84.23(1)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administer oaths, to admit or exclude testimony or other evidence, and to rule on all motions and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84.23(2)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84.23(3)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Any party may be represented by an attorney at the party’s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84.23(4)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84.23(5)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84.23(6)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84.23(7)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the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enter a default judgment against a party who fails to appear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84.23(8)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has the right to question a witness. Examination of witnesses by the presiding officer is subject to properly raised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84.23(9)</w:t>
      </w:r>
      <w:r>
        <w:rPr>
          <w:rFonts w:ascii="Times New Roman" w:hAnsi="Times New Roman"/>
          <w:b w:val="false"/>
          <w:i w:val="false"/>
          <w:color w:val="000000"/>
          <w:sz w:val="22"/>
        </w:rPr>
        <w:t> </w:t>
      </w:r>
      <w:r>
        <w:rPr>
          <w:rFonts w:ascii="Times New Roman" w:hAnsi="Times New Roman"/>
          <w:b w:val="false"/>
          <w:i w:val="false"/>
          <w:color w:val="000000"/>
          <w:sz w:val="22"/>
        </w:rPr>
        <w:t>The hearing shall be open to the public, except as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84.23(10)</w:t>
      </w:r>
      <w:r>
        <w:rPr>
          <w:rFonts w:ascii="Times New Roman" w:hAnsi="Times New Roman"/>
          <w:b w:val="false"/>
          <w:i w:val="false"/>
          <w:color w:val="000000"/>
          <w:sz w:val="22"/>
        </w:rPr>
        <w:t> </w:t>
      </w:r>
      <w:r>
        <w:rPr>
          <w:rFonts w:ascii="Times New Roman" w:hAnsi="Times New Roman"/>
          <w:b w:val="false"/>
          <w:i w:val="false"/>
          <w:color w:val="000000"/>
          <w:sz w:val="22"/>
        </w:rPr>
        <w:t>Oral proceedings shall be electronically recorded. Upon request, the board shall provide a copy of the whole or any portion of the audio recording at a reasonable cost. A certified shorthand reporter may be engaged to record the proceeding at the request of a party and at the expense of the party making the request. A transcription of the record of the hearing shall be made at the request of either party at the expense of the party making the request. The parties may agree to divide the cost of the transcription. A record of the proceedings, which may be either the original recording, a copy, or a transcript, shall be retained by the board for five years after the resolution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84.23(11)</w:t>
      </w:r>
      <w:r>
        <w:rPr>
          <w:rFonts w:ascii="Times New Roman" w:hAnsi="Times New Roman"/>
          <w:b w:val="false"/>
          <w:i w:val="false"/>
          <w:color w:val="000000"/>
          <w:sz w:val="22"/>
        </w:rPr>
        <w:t> </w:t>
      </w:r>
      <w:r>
        <w:rPr>
          <w:rFonts w:ascii="Times New Roman" w:hAnsi="Times New Roman"/>
          <w:b w:val="false"/>
          <w:i w:val="false"/>
          <w:color w:val="000000"/>
          <w:sz w:val="22"/>
        </w:rPr>
        <w:t>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no continuance was granted and a party fails to appear or participate in a contested case proceeding after proper service of notice, the presiding officer may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board action unless, within 15 days after the date of notification or mailing of the decision, a motion to vacate is filed and served on all parties or an appeal of a decision on the merits is timely initiated within the time provided by subrule </w:t>
      </w:r>
      <w:hyperlink r:id="rId4">
        <w:r>
          <w:rPr>
            <w:rStyle w:val="Hyperlink"/>
            <w:rFonts w:ascii="Times New Roman" w:hAnsi="Times New Roman"/>
            <w:b w:val="false"/>
            <w:i w:val="false"/>
            <w:color w:val="000000"/>
            <w:sz w:val="22"/>
          </w:rPr>
          <w:t>84.27(3)</w:t>
        </w:r>
      </w:hyperlink>
      <w:r>
        <w:rPr>
          <w:rFonts w:ascii="Times New Roman" w:hAnsi="Times New Roman"/>
          <w:b w:val="false"/>
          <w:i w:val="false"/>
          <w:color w:val="000000"/>
          <w:sz w:val="22"/>
        </w:rPr>
        <w:t>. A motion to vacate must state all facts relied upon by the moving party which establish that good cause existed for that party’s failure to appear or participate at the contested case proceeding. Each fact so stated must be substantiated by at least one attached, sworn affidavit of a person with personal knowledge of the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decision denying a motion to vacate is subject to further appeal within the time limit allowed for further appeal of a decision on the merits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 but, unless the defaulting party has appeared, it cannot exceed the relief demanded.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84.2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