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left"/>
      </w:pPr>
      <w:r>
        <w:rPr>
          <w:rFonts w:ascii="Times New Roman" w:hAnsi="Times New Roman"/>
          <w:b/>
          <w:i w:val="false"/>
          <w:color w:val="000000"/>
          <w:sz w:val="22"/>
        </w:rPr>
        <w:t>875—84.2</w:t>
      </w:r>
      <w:r>
        <w:rPr>
          <w:rFonts w:ascii="Times New Roman" w:hAnsi="Times New Roman"/>
          <w:b/>
          <w:i w:val="false"/>
          <w:color w:val="000000"/>
          <w:sz w:val="22"/>
        </w:rPr>
        <w:t xml:space="preserve">(17A,89) </w:t>
      </w:r>
      <w:r>
        <w:rPr>
          <w:rFonts w:ascii="Times New Roman" w:hAnsi="Times New Roman"/>
          <w:b/>
          <w:i w:val="false"/>
          <w:color w:val="000000"/>
          <w:sz w:val="22"/>
        </w:rPr>
        <w:t xml:space="preserve">Appeal to the board. </w:t>
      </w:r>
      <w:r>
        <w:rPr>
          <w:rFonts w:ascii="Times New Roman" w:hAnsi="Times New Roman"/>
          <w:b w:val="false"/>
          <w:i w:val="false"/>
          <w:color w:val="000000"/>
          <w:sz w:val="22"/>
        </w:rPr>
        <w:t xml:space="preserve">The commissioner’s ruling on a petition for reconsideration or the commissioner’s deemed denial of a petition for reconsideration may be appealed to the board. An appeal must be filed in writing with the board within 30 calendar days of the earlier of either the issuance of the commissioner’s written ruling on a petition for reconsideration or the commissioner’s deemed denial of a petition for reconsideration. At a minimum, an appeal shall include a short and concise statement of the basis for the appeal. The required form for an appeal is available on the board’s website at </w:t>
      </w:r>
      <w:hyperlink r:id="rId4">
        <w:r>
          <w:rPr>
            <w:rStyle w:val="Hyperlink"/>
            <w:rFonts w:ascii="Times New Roman" w:hAnsi="Times New Roman"/>
            <w:b w:val="false"/>
            <w:i w:val="false"/>
            <w:color w:val="000000"/>
            <w:sz w:val="22"/>
            <w:u w:val="single"/>
          </w:rPr>
          <w:t>iowaboilers.gov</w:t>
        </w:r>
      </w:hyperlink>
      <w:r>
        <w:rPr>
          <w:rFonts w:ascii="Times New Roman" w:hAnsi="Times New Roman"/>
          <w:b w:val="false"/>
          <w:i w:val="false"/>
          <w:color w:val="000000"/>
          <w:sz w:val="22"/>
        </w:rPr>
        <w:t xml:space="preserve">. Consideration of an appeal of a ruling on a petition for reconsideration shall be a contested case proceeding subject to the provisions of Iowa Code chapter </w:t>
      </w:r>
      <w:hyperlink r:id="rId5">
        <w:r>
          <w:rPr>
            <w:rStyle w:val="Hyperlink"/>
            <w:rFonts w:ascii="Times New Roman" w:hAnsi="Times New Roman"/>
            <w:b w:val="false"/>
            <w:i w:val="false"/>
            <w:color w:val="000000"/>
            <w:sz w:val="22"/>
          </w:rPr>
          <w:t>17A</w:t>
        </w:r>
      </w:hyperlink>
      <w:r>
        <w:rPr>
          <w:rFonts w:ascii="Times New Roman" w:hAnsi="Times New Roman"/>
          <w:b w:val="false"/>
          <w:i w:val="false"/>
          <w:color w:val="000000"/>
          <w:sz w:val="22"/>
        </w:rPr>
        <w:t>. The commissioner shall have an automatic right of intervention in any appeal of the ruling on petition for reconsideration and shall defend the ruling in a contested case proceeding.</w:t>
      </w:r>
    </w:p>
    <w:p>
      <w:pPr>
        <w:spacing w:before="0" w:after="0" w:line="240"/>
        <w:ind w:left="120"/>
        <w:jc w:val="left"/>
      </w:pPr>
      <w:r>
        <w:rPr>
          <w:rFonts w:ascii="Times New Roman" w:hAnsi="Times New Roman"/>
          <w:b w:val="false"/>
          <w:i w:val="false"/>
          <w:color w:val="000000"/>
          <w:sz w:val="16"/>
        </w:rPr>
        <w:t>[</w:t>
      </w:r>
      <w:r>
        <w:rPr>
          <w:rFonts w:ascii="Times New Roman" w:hAnsi="Times New Roman"/>
          <w:b/>
          <w:i w:val="false"/>
          <w:color w:val="000000"/>
          <w:sz w:val="16"/>
        </w:rPr>
        <w:t>ARC 9082B</w:t>
      </w:r>
      <w:r>
        <w:rPr>
          <w:rFonts w:ascii="Times New Roman" w:hAnsi="Times New Roman"/>
          <w:b w:val="false"/>
          <w:i w:val="false"/>
          <w:color w:val="000000"/>
          <w:sz w:val="16"/>
        </w:rPr>
        <w:t>, IAB 9/22/10, effective 10/27/10</w:t>
      </w:r>
      <w:r>
        <w:rPr>
          <w:rFonts w:ascii="Times New Roman" w:hAnsi="Times New Roman"/>
          <w:b w:val="false"/>
          <w:i w:val="false"/>
          <w:color w:val="000000"/>
          <w:sz w:val="16"/>
        </w:rPr>
        <w:t xml:space="preserve">; </w:t>
      </w:r>
      <w:r>
        <w:rPr>
          <w:rFonts w:ascii="Times New Roman" w:hAnsi="Times New Roman"/>
          <w:b/>
          <w:i w:val="false"/>
          <w:color w:val="000000"/>
          <w:sz w:val="16"/>
        </w:rPr>
        <w:t>ARC 3903C</w:t>
      </w:r>
      <w:r>
        <w:rPr>
          <w:rFonts w:ascii="Times New Roman" w:hAnsi="Times New Roman"/>
          <w:b w:val="false"/>
          <w:i w:val="false"/>
          <w:color w:val="000000"/>
          <w:sz w:val="16"/>
        </w:rPr>
        <w:t>, IAB 7/18/18, effective 9/1/18</w:t>
      </w:r>
      <w:r>
        <w:rPr>
          <w:rFonts w:ascii="Times New Roman" w:hAnsi="Times New Roman"/>
          <w:b w:val="false"/>
          <w:i w:val="false"/>
          <w:color w:val="000000"/>
          <w:sz w:val="16"/>
        </w:rPr>
        <w:t>]</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iowaboilers.gov" Type="http://schemas.openxmlformats.org/officeDocument/2006/relationships/hyperlink" Id="rId4"/>
    <Relationship TargetMode="External" Target="https://www.legis.iowa.gov/docs/ico/chapter/17A.pdf" Type="http://schemas.openxmlformats.org/officeDocument/2006/relationships/hyperlink" Id="rId5"/>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