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875—84.19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Settlements.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contested case may be resolved by informal settlement, and settlements are encouraged. Settlement negotiations may be initiated at any stage of a contested case by any party. The board shall not be involved in negotiation until a written proposed settlement is submitted for approval, unless the parties waive this prohibition.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