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875—84.18</w:t>
      </w:r>
      <w:r>
        <w:rPr>
          <w:rFonts w:ascii="Times New Roman" w:hAnsi="Times New Roman"/>
          <w:b/>
          <w:i w:val="false"/>
          <w:color w:val="000000"/>
          <w:sz w:val="22"/>
        </w:rPr>
        <w:t xml:space="preserve">(17A,89)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84.18(1)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84.18(2)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board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84.18(3)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84.18(4)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board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84.18(5)</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shall comply with the requirements of Iowa Rule of Civil Procedure 1.981 and shall be subject to disposition according to the requirements of that rule to the extent such requirements are not inconsistent with the provisions of this rule or any other provision of law governing the procedure in contested cases. Motions for summary judgment must be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rule </w:t>
      </w:r>
      <w:hyperlink r:id="rId4">
        <w:r>
          <w:rPr>
            <w:rStyle w:val="Hyperlink"/>
            <w:rFonts w:ascii="Times New Roman" w:hAnsi="Times New Roman"/>
            <w:b w:val="false"/>
            <w:i w:val="false"/>
            <w:color w:val="000000"/>
            <w:sz w:val="22"/>
          </w:rPr>
          <w:t>875—84.29(17A,89)</w:t>
        </w:r>
      </w:hyperlink>
      <w:r>
        <w:rPr>
          <w:rFonts w:ascii="Times New Roman" w:hAnsi="Times New Roman"/>
          <w:b w:val="false"/>
          <w:i w:val="false"/>
          <w:color w:val="000000"/>
          <w:sz w:val="22"/>
        </w:rPr>
        <w:t xml:space="preserve"> and appeal pursuant to subrule </w:t>
      </w:r>
      <w:hyperlink r:id="rId5">
        <w:r>
          <w:rPr>
            <w:rStyle w:val="Hyperlink"/>
            <w:rFonts w:ascii="Times New Roman" w:hAnsi="Times New Roman"/>
            <w:b w:val="false"/>
            <w:i w:val="false"/>
            <w:color w:val="000000"/>
            <w:sz w:val="22"/>
          </w:rPr>
          <w:t>84.27(3)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84.29.pdf" Type="http://schemas.openxmlformats.org/officeDocument/2006/relationships/hyperlink" Id="rId4"/>
    <Relationship TargetMode="External" Target="https://www.legis.iowa.gov/docs/iac/rule/875.84.27.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