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875—84.17</w:t>
      </w:r>
      <w:r>
        <w:rPr>
          <w:rFonts w:ascii="Times New Roman" w:hAnsi="Times New Roman"/>
          <w:b/>
          <w:i w:val="false"/>
          <w:color w:val="000000"/>
          <w:sz w:val="22"/>
        </w:rPr>
        <w:t xml:space="preserve">(17A,89) </w:t>
      </w:r>
      <w:r>
        <w:rPr>
          <w:rFonts w:ascii="Times New Roman" w:hAnsi="Times New Roman"/>
          <w:b/>
          <w:i w:val="false"/>
          <w:color w:val="000000"/>
          <w:sz w:val="22"/>
        </w:rPr>
        <w:t xml:space="preserve">Subpoenas in a contested case. </w:t>
      </w:r>
      <w:r>
        <w:rPr>
          <w:rFonts w:ascii="Times New Roman" w:hAnsi="Times New Roman"/>
          <w:b w:val="false"/>
          <w:i w:val="false"/>
          <w:color w:val="000000"/>
          <w:sz w:val="22"/>
        </w:rPr>
        <w:t xml:space="preserve">Pursuant to Iowa Code section </w:t>
      </w:r>
      <w:hyperlink r:id="rId4">
        <w:r>
          <w:rPr>
            <w:rStyle w:val="Hyperlink"/>
            <w:rFonts w:ascii="Times New Roman" w:hAnsi="Times New Roman"/>
            <w:b w:val="false"/>
            <w:i w:val="false"/>
            <w:color w:val="000000"/>
            <w:sz w:val="22"/>
          </w:rPr>
          <w:t>17A.13, subsection 1</w:t>
        </w:r>
      </w:hyperlink>
      <w:r>
        <w:rPr>
          <w:rFonts w:ascii="Times New Roman" w:hAnsi="Times New Roman"/>
          <w:b w:val="false"/>
          <w:i w:val="false"/>
          <w:color w:val="000000"/>
          <w:sz w:val="22"/>
        </w:rPr>
        <w:t>, the board or the presiding officer acting on behalf of the board has the authority to issue subpoenas to compel the attendance of witnesses at depositions or hearings and to compel the production of professional records, books, papers, correspondence and other records which are deemed necessary as evidence in connection with a contested case. A subpoena issued in a contested case under the board’s authority may seek evidence whether or not privileged or confidential under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84.17(1)</w:t>
      </w:r>
      <w:r>
        <w:rPr>
          <w:rFonts w:ascii="Times New Roman" w:hAnsi="Times New Roman"/>
          <w:b w:val="false"/>
          <w:i w:val="false"/>
          <w:color w:val="000000"/>
          <w:sz w:val="22"/>
        </w:rPr>
        <w:t> </w:t>
      </w:r>
      <w:r>
        <w:rPr>
          <w:rFonts w:ascii="Times New Roman" w:hAnsi="Times New Roman"/>
          <w:b w:val="false"/>
          <w:i w:val="false"/>
          <w:color w:val="000000"/>
          <w:sz w:val="22"/>
        </w:rPr>
        <w:t>Upon the written request of a party, the presiding officer shall issue a subpoena to compel the attendance of witnesses or to obtain evidence which is deemed necessary in connection with a contested case. A command to produce evidence may be joined with a command to appear at deposition or hearing or may be issued separately.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84.17(2)</w:t>
      </w:r>
      <w:r>
        <w:rPr>
          <w:rFonts w:ascii="Times New Roman" w:hAnsi="Times New Roman"/>
          <w:b w:val="false"/>
          <w:i w:val="false"/>
          <w:color w:val="000000"/>
          <w:sz w:val="22"/>
        </w:rPr>
        <w:t> </w:t>
      </w:r>
      <w:r>
        <w:rPr>
          <w:rFonts w:ascii="Times New Roman" w:hAnsi="Times New Roman"/>
          <w:b w:val="false"/>
          <w:i w:val="false"/>
          <w:color w:val="000000"/>
          <w:sz w:val="22"/>
        </w:rPr>
        <w:t>A request for a subpoena shall include the following information,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person requesting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shall be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at which the person shall be commanded to attend and give testimony;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the testimony is requested in connection with a deposition 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evidence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or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84.17(3)</w:t>
      </w:r>
      <w:r>
        <w:rPr>
          <w:rFonts w:ascii="Times New Roman" w:hAnsi="Times New Roman"/>
          <w:b w:val="false"/>
          <w:i w:val="false"/>
          <w:color w:val="000000"/>
          <w:sz w:val="22"/>
        </w:rPr>
        <w:t> </w:t>
      </w:r>
      <w:r>
        <w:rPr>
          <w:rFonts w:ascii="Times New Roman" w:hAnsi="Times New Roman"/>
          <w:b w:val="false"/>
          <w:i w:val="false"/>
          <w:color w:val="000000"/>
          <w:sz w:val="22"/>
        </w:rPr>
        <w:t>Each subpoena shall contain,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caption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person who requested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is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at which the person is commanded to appear;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testimony is commanded in connection with a deposition 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evidence the person is commanded to produce;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or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time within which a motion to quash or modify the subpoena must be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signature, address and telephone number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return of service attached to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84.17(4)</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mail or otherwise provide copies of all subpoenas to the parties to the contested case. The person who requested the subpoena is responsible for serving the subpoena upon the subject of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84.17(5)</w:t>
      </w:r>
      <w:r>
        <w:rPr>
          <w:rFonts w:ascii="Times New Roman" w:hAnsi="Times New Roman"/>
          <w:b w:val="false"/>
          <w:i w:val="false"/>
          <w:color w:val="000000"/>
          <w:sz w:val="22"/>
        </w:rPr>
        <w:t> </w:t>
      </w:r>
      <w:r>
        <w:rPr>
          <w:rFonts w:ascii="Times New Roman" w:hAnsi="Times New Roman"/>
          <w:b w:val="false"/>
          <w:i w:val="false"/>
          <w:color w:val="000000"/>
          <w:sz w:val="22"/>
        </w:rPr>
        <w:t>Any person who is aggrieved or adversely affected by compliance with the subpoena or any party to the contested case who desires to challenge the subpoena must, within 14 days after service of the subpoena, or before the time specified for compliance if such time is less than 14 days, file with the board a motion to quash or modify the subpoena. The motion shall describe the legal reasons why the subpoena should be quashed or modified, and may be accompanied by legal briefs or factual affidavits.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84.17(6)</w:t>
      </w:r>
      <w:r>
        <w:rPr>
          <w:rFonts w:ascii="Times New Roman" w:hAnsi="Times New Roman"/>
          <w:b w:val="false"/>
          <w:i w:val="false"/>
          <w:color w:val="000000"/>
          <w:sz w:val="22"/>
        </w:rPr>
        <w:t> </w:t>
      </w:r>
      <w:r>
        <w:rPr>
          <w:rFonts w:ascii="Times New Roman" w:hAnsi="Times New Roman"/>
          <w:b w:val="false"/>
          <w:i w:val="false"/>
          <w:color w:val="000000"/>
          <w:sz w:val="22"/>
        </w:rPr>
        <w:t>Upon receipt of a timely motion to quash or modify a subpoena, the board chairperson shall request an administrative law judge to hold a hearing and issue a decision. Oral argument may be scheduled at the discretion of the board or the administrative law judge. The administrative law judge may quash or modify the subpoena or deny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84.17(7)</w:t>
      </w:r>
      <w:r>
        <w:rPr>
          <w:rFonts w:ascii="Times New Roman" w:hAnsi="Times New Roman"/>
          <w:b w:val="false"/>
          <w:i w:val="false"/>
          <w:color w:val="000000"/>
          <w:sz w:val="22"/>
        </w:rPr>
        <w:t> </w:t>
      </w:r>
      <w:r>
        <w:rPr>
          <w:rFonts w:ascii="Times New Roman" w:hAnsi="Times New Roman"/>
          <w:b w:val="false"/>
          <w:i w:val="false"/>
          <w:color w:val="000000"/>
          <w:sz w:val="22"/>
        </w:rPr>
        <w:t>A person who is aggrieved by a ruling of an administrative law judge and who desires to challenge that ruling must appeal the ruling to the board by serving on the board, either in person or by certified mail, a notice of appeal within ten days after service of the decision of the administrative law judge. If the decision of the administrative law judge to quash or modify the subpoena or to deny the motion to quash or modify the subpoena is appealed to the board, the board may uphold or overturn the decision of the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84.17(8)</w:t>
      </w:r>
      <w:r>
        <w:rPr>
          <w:rFonts w:ascii="Times New Roman" w:hAnsi="Times New Roman"/>
          <w:b w:val="false"/>
          <w:i w:val="false"/>
          <w:color w:val="000000"/>
          <w:sz w:val="22"/>
        </w:rPr>
        <w:t> </w:t>
      </w:r>
      <w:r>
        <w:rPr>
          <w:rFonts w:ascii="Times New Roman" w:hAnsi="Times New Roman"/>
          <w:b w:val="false"/>
          <w:i w:val="false"/>
          <w:color w:val="000000"/>
          <w:sz w:val="22"/>
        </w:rPr>
        <w:t>If the person contesting the subpoena is not the party whose appeal is the subject of the contested case, the board’s decision is final for purposes of judicial review. If the person contesting the subpoena is the party whose appeal is the subject of the contested case, the board’s decision is not final for purposes of judicial review until there is a final decision in the contested case.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9082B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13.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