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875—84.14</w:t>
      </w:r>
      <w:r>
        <w:rPr>
          <w:rFonts w:ascii="Times New Roman" w:hAnsi="Times New Roman"/>
          <w:b/>
          <w:i w:val="false"/>
          <w:color w:val="000000"/>
          <w:sz w:val="22"/>
        </w:rPr>
        <w:t xml:space="preserve">(17A,89)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board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4">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 </w:t>
      </w:r>
      <w:hyperlink r:id="rId5">
        <w:r>
          <w:rPr>
            <w:rStyle w:val="Hyperlink"/>
            <w:rFonts w:ascii="Times New Roman" w:hAnsi="Times New Roman"/>
            <w:b w:val="false"/>
            <w:i w:val="false"/>
            <w:color w:val="000000"/>
            <w:sz w:val="22"/>
          </w:rPr>
          <w:t>84.25(7)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6">
        <w:r>
          <w:rPr>
            <w:rStyle w:val="Hyperlink"/>
            <w:rFonts w:ascii="Times New Roman" w:hAnsi="Times New Roman"/>
            <w:b w:val="false"/>
            <w:i w:val="false"/>
            <w:color w:val="000000"/>
            <w:sz w:val="22"/>
          </w:rPr>
          <w:t>84.14(1)</w:t>
        </w:r>
      </w:hyperlink>
      <w:r>
        <w:rPr>
          <w:rFonts w:ascii="Times New Roman" w:hAnsi="Times New Roman"/>
          <w:b w:val="false"/>
          <w:i w:val="false"/>
          <w:color w:val="000000"/>
          <w:sz w:val="22"/>
        </w:rPr>
        <w:t xml:space="preserve">, the party shall file a motion supported by an affidavit pursuant to Iowa Code section </w:t>
      </w:r>
      <w:hyperlink r:id="rId7">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84.14(5)</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84.14(6)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8">
        <w:r>
          <w:rPr>
            <w:rStyle w:val="Hyperlink"/>
            <w:rFonts w:ascii="Times New Roman" w:hAnsi="Times New Roman"/>
            <w:b w:val="false"/>
            <w:i w:val="false"/>
            <w:color w:val="000000"/>
            <w:sz w:val="22"/>
          </w:rPr>
          <w:t>875—84.26</w:t>
        </w:r>
      </w:hyperlink>
      <w:r>
        <w:rPr>
          <w:rFonts w:ascii="Times New Roman" w:hAnsi="Times New Roman"/>
          <w:b w:val="false"/>
          <w:i w:val="false"/>
          <w:color w:val="000000"/>
          <w:sz w:val="22"/>
        </w:rPr>
        <w:t xml:space="preserve">(17A,89) and seek a stay under rule </w:t>
      </w:r>
      <w:hyperlink r:id="rId9">
        <w:r>
          <w:rPr>
            <w:rStyle w:val="Hyperlink"/>
            <w:rFonts w:ascii="Times New Roman" w:hAnsi="Times New Roman"/>
            <w:b w:val="false"/>
            <w:i w:val="false"/>
            <w:color w:val="000000"/>
            <w:sz w:val="22"/>
          </w:rPr>
          <w:t>875—84.30</w:t>
        </w:r>
      </w:hyperlink>
      <w:r>
        <w:rPr>
          <w:rFonts w:ascii="Times New Roman" w:hAnsi="Times New Roman"/>
          <w:b w:val="false"/>
          <w:i w:val="false"/>
          <w:color w:val="000000"/>
          <w:sz w:val="22"/>
        </w:rPr>
        <w:t>(17A,89).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7.pdf" Type="http://schemas.openxmlformats.org/officeDocument/2006/relationships/hyperlink" Id="rId4"/>
    <Relationship TargetMode="External" Target="https://www.legis.iowa.gov/docs/iac/rule/875.84.25.pdf" Type="http://schemas.openxmlformats.org/officeDocument/2006/relationships/hyperlink" Id="rId5"/>
    <Relationship TargetMode="External" Target="https://www.legis.iowa.gov/docs/iac/rule/875.84.14.pdf" Type="http://schemas.openxmlformats.org/officeDocument/2006/relationships/hyperlink" Id="rId6"/>
    <Relationship TargetMode="External" Target="https://www.legis.iowa.gov/docs/ico/chapter/17A.17.pdf" Type="http://schemas.openxmlformats.org/officeDocument/2006/relationships/hyperlink" Id="rId7"/>
    <Relationship TargetMode="External" Target="https://www.legis.iowa.gov/docs/iac/rule/875.84.26.pdf" Type="http://schemas.openxmlformats.org/officeDocument/2006/relationships/hyperlink" Id="rId8"/>
    <Relationship TargetMode="External" Target="https://www.legis.iowa.gov/docs/iac/rule/875.84.30.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