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875—84.12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of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otherwise precluded by law, the parties in a contested case proceeding may waive any provision of this chapter. However, the board in its discretion may refuse to give effect to such a waiver when the board deems the waiver to be inconsistent with the public interest.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