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875—84.10</w:t>
      </w:r>
      <w:r>
        <w:rPr>
          <w:rFonts w:ascii="Times New Roman" w:hAnsi="Times New Roman"/>
          <w:b/>
          <w:i w:val="false"/>
          <w:color w:val="000000"/>
          <w:sz w:val="22"/>
        </w:rPr>
        <w:t xml:space="preserve">(17A,89) </w:t>
      </w:r>
      <w:r>
        <w:rPr>
          <w:rFonts w:ascii="Times New Roman" w:hAnsi="Times New Roman"/>
          <w:b/>
          <w:i w:val="false"/>
          <w:color w:val="000000"/>
          <w:sz w:val="22"/>
        </w:rPr>
        <w:t xml:space="preserve">Service and filing.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84.10(1)</w:t>
      </w:r>
      <w:r>
        <w:rPr>
          <w:rFonts w:ascii="Times New Roman" w:hAnsi="Times New Roman"/>
          <w:b w:val="false"/>
          <w:i w:val="false"/>
          <w:color w:val="000000"/>
          <w:sz w:val="22"/>
        </w:rPr>
        <w:t> </w:t>
      </w:r>
      <w:r>
        <w:rPr>
          <w:rFonts w:ascii="Times New Roman" w:hAnsi="Times New Roman"/>
          <w:b w:val="false"/>
          <w:i/>
          <w:color w:val="000000"/>
          <w:sz w:val="22"/>
        </w:rPr>
        <w:t xml:space="preserve">Service—when required. </w:t>
      </w:r>
      <w:r>
        <w:rPr>
          <w:rFonts w:ascii="Times New Roman" w:hAnsi="Times New Roman"/>
          <w:b w:val="false"/>
          <w:i w:val="false"/>
          <w:color w:val="000000"/>
          <w:sz w:val="22"/>
        </w:rPr>
        <w:t xml:space="preserve">Except where otherwise provided by law, when a document is filed in a contested case proceeding, it shall be served upon each of the parties of record. Except for the original notice of hearing and an application for rehearing as provided in Iowa Code section </w:t>
      </w:r>
      <w:hyperlink r:id="rId4">
        <w:r>
          <w:rPr>
            <w:rStyle w:val="Hyperlink"/>
            <w:rFonts w:ascii="Times New Roman" w:hAnsi="Times New Roman"/>
            <w:b w:val="false"/>
            <w:i w:val="false"/>
            <w:color w:val="000000"/>
            <w:sz w:val="22"/>
          </w:rPr>
          <w:t>17A.16, subsection 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84.10(2)</w:t>
      </w:r>
      <w:r>
        <w:rPr>
          <w:rFonts w:ascii="Times New Roman" w:hAnsi="Times New Roman"/>
          <w:b w:val="false"/>
          <w:i w:val="false"/>
          <w:color w:val="000000"/>
          <w:sz w:val="22"/>
        </w:rPr>
        <w:t> </w:t>
      </w:r>
      <w:r>
        <w:rPr>
          <w:rFonts w:ascii="Times New Roman" w:hAnsi="Times New Roman"/>
          <w:b w:val="false"/>
          <w:i/>
          <w:color w:val="000000"/>
          <w:sz w:val="22"/>
        </w:rPr>
        <w:t xml:space="preserve">Service—how made. </w:t>
      </w:r>
      <w:r>
        <w:rPr>
          <w:rFonts w:ascii="Times New Roman" w:hAnsi="Times New Roman"/>
          <w:b w:val="false"/>
          <w:i w:val="false"/>
          <w:color w:val="000000"/>
          <w:sz w:val="22"/>
        </w:rPr>
        <w:t>Service upon a party represented by an attorney shall be made upon the attorney unless otherwise ordered. Service is made by personal delivery or by mailing a copy to the person’s last-known address. Service by mail is complete upon mailing, except where otherwise specifically provided by statute, rule, or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84.10(3)</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After the notice of hearing, all documents in a contested case proceeding shall be filed with the board office. All documents that are required to be served upon a party shall be filed simultaneously with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84.10(4)</w:t>
      </w:r>
      <w:r>
        <w:rPr>
          <w:rFonts w:ascii="Times New Roman" w:hAnsi="Times New Roman"/>
          <w:b w:val="false"/>
          <w:i w:val="false"/>
          <w:color w:val="000000"/>
          <w:sz w:val="22"/>
        </w:rPr>
        <w:t> </w:t>
      </w:r>
      <w:r>
        <w:rPr>
          <w:rFonts w:ascii="Times New Roman" w:hAnsi="Times New Roman"/>
          <w:b w:val="false"/>
          <w:i/>
          <w:color w:val="000000"/>
          <w:sz w:val="22"/>
        </w:rPr>
        <w:t xml:space="preserve">Filing—when made. </w:t>
      </w:r>
      <w:r>
        <w:rPr>
          <w:rFonts w:ascii="Times New Roman" w:hAnsi="Times New Roman"/>
          <w:b w:val="false"/>
          <w:i w:val="false"/>
          <w:color w:val="000000"/>
          <w:sz w:val="22"/>
        </w:rPr>
        <w:t xml:space="preserve">Except where otherwise provided by law, a document is deemed filed at the time it is delivered to the board at the location set forth in rule </w:t>
      </w:r>
      <w:hyperlink r:id="rId5">
        <w:r>
          <w:rPr>
            <w:rStyle w:val="Hyperlink"/>
            <w:rFonts w:ascii="Times New Roman" w:hAnsi="Times New Roman"/>
            <w:b w:val="false"/>
            <w:i w:val="false"/>
            <w:color w:val="000000"/>
            <w:sz w:val="22"/>
          </w:rPr>
          <w:t>875—80.5</w:t>
        </w:r>
      </w:hyperlink>
      <w:r>
        <w:rPr>
          <w:rFonts w:ascii="Times New Roman" w:hAnsi="Times New Roman"/>
          <w:b w:val="false"/>
          <w:i w:val="false"/>
          <w:color w:val="000000"/>
          <w:sz w:val="22"/>
        </w:rPr>
        <w:t>(89), delivered to an established courier service for immediate delivery to that office, or mailed by first-class mail or state interoffice mail to that office, so long as there is proof of mailing.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84.10(5)</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Proof of mailing includes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certified mail return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5000" w:type="pct"/>
        <w:tblCellSpacing w:w="0" w:type="auto"/>
        <w:tblBorders>
          <w:top w:val="none"/>
          <w:left w:val="none"/>
          <w:bottom w:val="none"/>
          <w:right w:val="none"/>
          <w:insideH w:val="none"/>
          <w:insideV w:val="none"/>
        </w:tblBorders>
        <w:tblLayout w:type="fixed"/>
      </w:tblPr>
      <w:tblGrid>
        <w:gridCol w:w="495"/>
        <w:gridCol w:w="4014"/>
        <w:gridCol w:w="6681"/>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Boiler and Pressure Vessel Board, Department of Workforce Development, Division of Labor Services, 150 Des Moines Street, Des Moines, Iowa 50309, and to the names and addresses of the parties listed below by depositing the same in a United States post office mailbox with correct postage properly affixed.</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5977C</w:t>
      </w:r>
      <w:r>
        <w:rPr>
          <w:rFonts w:ascii="Times New Roman" w:hAnsi="Times New Roman"/>
          <w:b w:val="false"/>
          <w:i w:val="false"/>
          <w:color w:val="000000"/>
          <w:sz w:val="16"/>
        </w:rPr>
        <w:t>, IAB 10/20/21, effective 11/24/21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6.pdf" Type="http://schemas.openxmlformats.org/officeDocument/2006/relationships/hyperlink" Id="rId4"/>
    <Relationship TargetMode="External" Target="https://www.legis.iowa.gov/docs/iac/rule/875.80.5.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