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875—84.1</w:t>
      </w:r>
      <w:r>
        <w:rPr>
          <w:rFonts w:ascii="Times New Roman" w:hAnsi="Times New Roman"/>
          <w:b/>
          <w:i w:val="false"/>
          <w:color w:val="000000"/>
          <w:sz w:val="22"/>
        </w:rPr>
        <w:t xml:space="preserve">(17A,89) </w:t>
      </w:r>
      <w:r>
        <w:rPr>
          <w:rFonts w:ascii="Times New Roman" w:hAnsi="Times New Roman"/>
          <w:b/>
          <w:i w:val="false"/>
          <w:color w:val="000000"/>
          <w:sz w:val="22"/>
        </w:rPr>
        <w:t xml:space="preserve">Reconsideration of inspection report. </w:t>
      </w:r>
      <w:r>
        <w:rPr>
          <w:rFonts w:ascii="Times New Roman" w:hAnsi="Times New Roman"/>
          <w:b w:val="false"/>
          <w:i w:val="false"/>
          <w:color w:val="000000"/>
          <w:sz w:val="22"/>
        </w:rPr>
        <w:t xml:space="preserve">The owner or operator of a piece of equipment subject to a written inspection report may petition the commissioner for reconsideration of the report within 30 days of the issuance of the report. Failure to seek timely reconsideration of the inspection report from the commissioner shall be deemed a waiver of all appeal rights under Iowa Code subsection </w:t>
      </w:r>
      <w:hyperlink r:id="rId4">
        <w:r>
          <w:rPr>
            <w:rStyle w:val="Hyperlink"/>
            <w:rFonts w:ascii="Times New Roman" w:hAnsi="Times New Roman"/>
            <w:b w:val="false"/>
            <w:i w:val="false"/>
            <w:color w:val="000000"/>
            <w:sz w:val="22"/>
          </w:rPr>
          <w:t>89.14(6)</w:t>
        </w:r>
      </w:hyperlink>
      <w:r>
        <w:rPr>
          <w:rFonts w:ascii="Times New Roman" w:hAnsi="Times New Roman"/>
          <w:b w:val="false"/>
          <w:i w:val="false"/>
          <w:color w:val="000000"/>
          <w:sz w:val="22"/>
        </w:rPr>
        <w:t>. The burden of demonstrating compliance with all applicable statutory provisions, administrative rules, and ASME code sections rests upon the petitioning owner or operator.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84.1(1)</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 for reconsideration shall be in writing and must be signed by the requesting party or a representative of that party. The required form for a petition for reconsideration is available on the board’s website at </w:t>
      </w:r>
      <w:hyperlink r:id="rId5">
        <w:r>
          <w:rPr>
            <w:rStyle w:val="Hyperlink"/>
            <w:rFonts w:ascii="Times New Roman" w:hAnsi="Times New Roman"/>
            <w:b w:val="false"/>
            <w:i w:val="false"/>
            <w:color w:val="000000"/>
            <w:sz w:val="22"/>
            <w:u w:val="single"/>
          </w:rPr>
          <w:t>iowaboilers.gov</w:t>
        </w:r>
      </w:hyperlink>
      <w:r>
        <w:rPr>
          <w:rFonts w:ascii="Times New Roman" w:hAnsi="Times New Roman"/>
          <w:b w:val="false"/>
          <w:i w:val="false"/>
          <w:color w:val="000000"/>
          <w:sz w:val="22"/>
        </w:rPr>
        <w:t>. A petition for reconsideration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party seeking reconsideration, including mailing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of the equipment subject to the challenged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inspection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inspector who issued the challenged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84.1(2)</w:t>
      </w:r>
      <w:r>
        <w:rPr>
          <w:rFonts w:ascii="Times New Roman" w:hAnsi="Times New Roman"/>
          <w:b w:val="false"/>
          <w:i w:val="false"/>
          <w:color w:val="000000"/>
          <w:sz w:val="22"/>
        </w:rPr>
        <w:t> </w:t>
      </w:r>
      <w:r>
        <w:rPr>
          <w:rFonts w:ascii="Times New Roman" w:hAnsi="Times New Roman"/>
          <w:b w:val="false"/>
          <w:i w:val="false"/>
          <w:color w:val="000000"/>
          <w:sz w:val="22"/>
        </w:rPr>
        <w:t>A copy of the challenged inspection report shall be attached to the petition for reconsideration. The petitioning party shall also include all relevant documents that the petitioning party desires the commissioner to consider when evaluating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84.1(3)</w:t>
      </w:r>
      <w:r>
        <w:rPr>
          <w:rFonts w:ascii="Times New Roman" w:hAnsi="Times New Roman"/>
          <w:b w:val="false"/>
          <w:i w:val="false"/>
          <w:color w:val="000000"/>
          <w:sz w:val="22"/>
        </w:rPr>
        <w:t> </w:t>
      </w:r>
      <w:r>
        <w:rPr>
          <w:rFonts w:ascii="Times New Roman" w:hAnsi="Times New Roman"/>
          <w:b w:val="false"/>
          <w:i w:val="false"/>
          <w:color w:val="000000"/>
          <w:sz w:val="22"/>
        </w:rPr>
        <w:t>The commissioner or a designee of the commissioner is authorized to seek additional information relating to a petition for reconsideration from the petitioning party or any other entity possessing information the commissioner deems relevant to the petition. This subrule, however, does not impose any responsibility or duty on the commissioner to discover documents or other information that was not submitted with the petition for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84.1(4)</w:t>
      </w:r>
      <w:r>
        <w:rPr>
          <w:rFonts w:ascii="Times New Roman" w:hAnsi="Times New Roman"/>
          <w:b w:val="false"/>
          <w:i w:val="false"/>
          <w:color w:val="000000"/>
          <w:sz w:val="22"/>
        </w:rPr>
        <w:t> </w:t>
      </w:r>
      <w:r>
        <w:rPr>
          <w:rFonts w:ascii="Times New Roman" w:hAnsi="Times New Roman"/>
          <w:b w:val="false"/>
          <w:i w:val="false"/>
          <w:color w:val="000000"/>
          <w:sz w:val="22"/>
        </w:rPr>
        <w:t>Any petition for reconsideration that is not received by the office of the commissioner within 30 days of the issuance of the challenged inspection report shall be deemed untimely and will not be considered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not consider any request for waiver or variance of an administrative rule made as part of a petition for reconsideration. Requests for waivers or variances of administrative rules may only be made to the board pursuant to the provisions of </w:t>
      </w:r>
      <w:hyperlink r:id="rId6">
        <w:r>
          <w:rPr>
            <w:rStyle w:val="Hyperlink"/>
            <w:rFonts w:ascii="Times New Roman" w:hAnsi="Times New Roman"/>
            <w:b w:val="false"/>
            <w:i w:val="false"/>
            <w:color w:val="000000"/>
            <w:sz w:val="22"/>
          </w:rPr>
          <w:t>875—Chapter 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84.1(6)</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issue a written ruling on the petition for reconsideration. In ruling on a petition for reconsideration, the commissioner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Affirm the inspection report 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Issue an amended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Rescind the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Deny the petition as untimely.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84.1(7)</w:t>
      </w:r>
      <w:r>
        <w:rPr>
          <w:rFonts w:ascii="Times New Roman" w:hAnsi="Times New Roman"/>
          <w:b w:val="false"/>
          <w:i w:val="false"/>
          <w:color w:val="000000"/>
          <w:sz w:val="22"/>
        </w:rPr>
        <w:t> </w:t>
      </w:r>
      <w:r>
        <w:rPr>
          <w:rFonts w:ascii="Times New Roman" w:hAnsi="Times New Roman"/>
          <w:b w:val="false"/>
          <w:i w:val="false"/>
          <w:color w:val="000000"/>
          <w:sz w:val="22"/>
        </w:rPr>
        <w:t>Any petition for reconsideration that is not ruled upon by the commissioner within 20 days of receipt by the office of the commissioner shall be deemed denied by the commissioner and the challenged inspection report shall be considered affirmed as issued.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3635C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89.14.pdf" Type="http://schemas.openxmlformats.org/officeDocument/2006/relationships/hyperlink" Id="rId4"/>
    <Relationship TargetMode="External" Target="http://iowaboilers.gov" Type="http://schemas.openxmlformats.org/officeDocument/2006/relationships/hyperlink" Id="rId5"/>
    <Relationship TargetMode="External" Target="https://www.legis.iowa.gov/docs/iac/chapter/875.8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