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875—83.9</w:t>
      </w:r>
      <w:r>
        <w:rPr>
          <w:rFonts w:ascii="Times New Roman" w:hAnsi="Times New Roman"/>
          <w:b/>
          <w:i w:val="false"/>
          <w:color w:val="000000"/>
          <w:sz w:val="22"/>
        </w:rPr>
        <w:t xml:space="preserve">(17A,89)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not issue a declaratory order where prohibited by Iowa Code section </w:t>
      </w:r>
      <w:hyperlink r:id="rId4">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xml:space="preserve">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 does not provide the required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9/22/10</w:t>
      </w:r>
      <w:r>
        <w:rPr>
          <w:rFonts w:ascii="Times New Roman" w:hAnsi="Times New Roman"/>
          <w:b w:val="false"/>
          <w:i w:val="false"/>
          <w:color w:val="000000"/>
          <w:sz w:val="22"/>
        </w:rPr>
        <w:t>, effective 10/27/10.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 making, contested case, or other board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board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the board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board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refusal to issue an order.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9.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