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875—83.7</w:t>
      </w:r>
      <w:r>
        <w:rPr>
          <w:rFonts w:ascii="Times New Roman" w:hAnsi="Times New Roman"/>
          <w:b/>
          <w:i w:val="false"/>
          <w:color w:val="000000"/>
          <w:sz w:val="22"/>
        </w:rPr>
        <w:t xml:space="preserve">(17A,89) </w:t>
      </w:r>
      <w:r>
        <w:rPr>
          <w:rFonts w:ascii="Times New Roman" w:hAnsi="Times New Roman"/>
          <w:b/>
          <w:i w:val="false"/>
          <w:color w:val="000000"/>
          <w:sz w:val="22"/>
        </w:rPr>
        <w:t xml:space="preserve">Board review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83.7(1)</w:t>
      </w:r>
      <w:r>
        <w:rPr>
          <w:rFonts w:ascii="Times New Roman" w:hAnsi="Times New Roman"/>
          <w:b w:val="false"/>
          <w:i w:val="false"/>
          <w:color w:val="000000"/>
          <w:sz w:val="22"/>
        </w:rPr>
        <w:t> </w:t>
      </w:r>
      <w:r>
        <w:rPr>
          <w:rFonts w:ascii="Times New Roman" w:hAnsi="Times New Roman"/>
          <w:b w:val="false"/>
          <w:i w:val="false"/>
          <w:color w:val="000000"/>
          <w:sz w:val="22"/>
        </w:rPr>
        <w:t>Within 30 days after receipt of a petition for a declaratory order, the board shall issue a document that does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Declares the applicability of the statute, rule or order to the specified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Sets the matter for specific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Agrees to issue a declaratory order by a specified time,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Declines to issue a declaratory order and sets forth the reasons for its actions as provided in subrule 83.9(1).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83.7(2)</w:t>
      </w:r>
      <w:r>
        <w:rPr>
          <w:rFonts w:ascii="Times New Roman" w:hAnsi="Times New Roman"/>
          <w:b w:val="false"/>
          <w:i w:val="false"/>
          <w:color w:val="000000"/>
          <w:sz w:val="22"/>
        </w:rPr>
        <w:t> </w:t>
      </w:r>
      <w:r>
        <w:rPr>
          <w:rFonts w:ascii="Times New Roman" w:hAnsi="Times New Roman"/>
          <w:b w:val="false"/>
          <w:i w:val="false"/>
          <w:color w:val="000000"/>
          <w:sz w:val="22"/>
        </w:rPr>
        <w:t>The board may request that the petitioner submit additional information or argument concerning the petition. The board may also solicit comments on the substance of the petition from any person. Also, comments on the substance of the petition may be submitted to the board by any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83.7(3)</w:t>
      </w:r>
      <w:r>
        <w:rPr>
          <w:rFonts w:ascii="Times New Roman" w:hAnsi="Times New Roman"/>
          <w:b w:val="false"/>
          <w:i w:val="false"/>
          <w:color w:val="000000"/>
          <w:sz w:val="22"/>
        </w:rPr>
        <w:t> </w:t>
      </w:r>
      <w:r>
        <w:rPr>
          <w:rFonts w:ascii="Times New Roman" w:hAnsi="Times New Roman"/>
          <w:b w:val="false"/>
          <w:i w:val="false"/>
          <w:color w:val="000000"/>
          <w:sz w:val="22"/>
        </w:rPr>
        <w:t>The petitioner and all intervenors shall be provided a reasonable opportunity to make a presentation to the board. The length of time allotted for presentation shall be reasonable in light of the complexity and number of issues involved.</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9082B</w:t>
      </w:r>
      <w:r>
        <w:rPr>
          <w:rFonts w:ascii="Times New Roman" w:hAnsi="Times New Roman"/>
          <w:b w:val="false"/>
          <w:i w:val="false"/>
          <w:color w:val="000000"/>
          <w:sz w:val="16"/>
        </w:rPr>
        <w:t>, IAB 9/22/10, effective 10/27/10</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