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875—83.3</w:t>
      </w:r>
      <w:r>
        <w:rPr>
          <w:rFonts w:ascii="Times New Roman" w:hAnsi="Times New Roman"/>
          <w:b/>
          <w:i w:val="false"/>
          <w:color w:val="000000"/>
          <w:sz w:val="22"/>
        </w:rPr>
        <w:t xml:space="preserve">(17A,89)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val="false"/>
          <w:color w:val="000000"/>
          <w:sz w:val="22"/>
        </w:rPr>
        <w:t>A person who qualifies under any applicable provision of law as an intervenor and who files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a person who qualifies under any applicable provision of law as an intervenor and who files a petition for intervention more than 20 days after the filing of a petition for declaratory order but prior to the issuance of an order may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board office. Such a petition is deemed filed when it is received by that office. The board will provide the petitioner with a file-stamped copy of the petition for intervention if the petitioner provides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must be in writing and provide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