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875—83.1</w:t>
      </w:r>
      <w:r>
        <w:rPr>
          <w:rFonts w:ascii="Times New Roman" w:hAnsi="Times New Roman"/>
          <w:b/>
          <w:i w:val="false"/>
          <w:color w:val="000000"/>
          <w:sz w:val="22"/>
        </w:rPr>
        <w:t xml:space="preserve">(17A,89)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at the board office a petition with the board for a declaratory order as to the applicability to specified circumstances of a statute, rule, or order within the primary jurisdiction of the board. A petition is deemed filed when it is received by that office. The board shall provide the petitioner with a file-stamped copy of the petition if the petitioner provides the board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form for a petition for declaratory order is available on the board’s website at </w:t>
      </w:r>
      <w:hyperlink r:id="rId4">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The petition must be in writing and provide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and concise questions the petitioner wants the board to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directed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owaboilers.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