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875—82.4</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82.4(1)</w:t>
      </w:r>
      <w:r>
        <w:rPr>
          <w:rFonts w:ascii="Times New Roman" w:hAnsi="Times New Roman"/>
          <w:b w:val="false"/>
          <w:i w:val="false"/>
          <w:color w:val="000000"/>
          <w:sz w:val="22"/>
        </w:rPr>
        <w:t> </w:t>
      </w:r>
      <w:r>
        <w:rPr>
          <w:rFonts w:ascii="Times New Roman" w:hAnsi="Times New Roman"/>
          <w:b w:val="false"/>
          <w:i w:val="false"/>
          <w:color w:val="000000"/>
          <w:sz w:val="22"/>
        </w:rPr>
        <w:t>Unless the board makes other arrangements, petitions for rule making will be reviewed and may be granted or denied at the next scheduled board meeting following receipt of the petition. However, if the petition is received less than three weeks prior to the scheduled board meeting, the petition will be reviewed at the subsequent meeting. The board may request the petitioner to submit additional information or argument concerning the petition. The board may also solicit comments from any person on the substance of the petition.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82.4(2)</w:t>
      </w:r>
      <w:r>
        <w:rPr>
          <w:rFonts w:ascii="Times New Roman" w:hAnsi="Times New Roman"/>
          <w:b w:val="false"/>
          <w:i w:val="false"/>
          <w:color w:val="000000"/>
          <w:sz w:val="22"/>
        </w:rPr>
        <w:t> </w:t>
      </w:r>
      <w:r>
        <w:rPr>
          <w:rFonts w:ascii="Times New Roman" w:hAnsi="Times New Roman"/>
          <w:b w:val="false"/>
          <w:i w:val="false"/>
          <w:color w:val="000000"/>
          <w:sz w:val="22"/>
        </w:rPr>
        <w:t>The petitioner shall be provided a reasonable opportunity to make a presentation to the board. The length of time allotted for presentation shall be reasonable in light of the complexity and number of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82.4(3)</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board shall deny the petition in writing and notify petitioner of its action and the specific grounds for the denial, or grant the petition and notify petitioner that the board will institute rule-making proceedings on the subject of the petition. Notice shall be sent by the board office to the petitioner by regular mail or email if appropriate. Petitioner shall be deemed notified of the denial or granting of the petition on the date the board office mails the required notification to the petitioner. Copies of the petition and the document granting or denying the petition shall be sent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82.4(4)</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contain the required information does not preclude the filing of a new petition on the same subject that seeks to eliminate the grounds for the board’s rejection of the petition.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