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875—82.1</w:t>
      </w:r>
      <w:r>
        <w:rPr>
          <w:rFonts w:ascii="Times New Roman" w:hAnsi="Times New Roman"/>
          <w:b/>
          <w:i w:val="false"/>
          <w:color w:val="000000"/>
          <w:sz w:val="22"/>
        </w:rPr>
        <w:t xml:space="preserve">(17A,89) </w:t>
      </w:r>
      <w:r>
        <w:rPr>
          <w:rFonts w:ascii="Times New Roman" w:hAnsi="Times New Roman"/>
          <w:b/>
          <w:i w:val="false"/>
          <w:color w:val="000000"/>
          <w:sz w:val="22"/>
        </w:rPr>
        <w:t xml:space="preserve">Petitions for rule making. </w:t>
      </w:r>
      <w:r>
        <w:rPr>
          <w:rFonts w:ascii="Times New Roman" w:hAnsi="Times New Roman"/>
          <w:b w:val="false"/>
          <w:i w:val="false"/>
          <w:color w:val="000000"/>
          <w:sz w:val="22"/>
        </w:rPr>
        <w:t xml:space="preserve">Any person or agency may file a petition for rule making with the board requesting the adoption, amendment or repeal of a rule. The required form for a petition for rule making is available on the board’s website at </w:t>
      </w:r>
      <w:hyperlink r:id="rId4">
        <w:r>
          <w:rPr>
            <w:rStyle w:val="Hyperlink"/>
            <w:rFonts w:ascii="Times New Roman" w:hAnsi="Times New Roman"/>
            <w:b w:val="false"/>
            <w:i w:val="false"/>
            <w:color w:val="000000"/>
            <w:sz w:val="22"/>
            <w:u w:val="single"/>
          </w:rPr>
          <w:t>iowaboilers.gov</w:t>
        </w:r>
      </w:hyperlink>
      <w:r>
        <w:rPr>
          <w:rFonts w:ascii="Times New Roman" w:hAnsi="Times New Roman"/>
          <w:b w:val="false"/>
          <w:i w:val="false"/>
          <w:color w:val="000000"/>
          <w:sz w:val="22"/>
        </w:rPr>
        <w:t xml:space="preserve">. The petition shall be filed at the location specified in rule </w:t>
      </w:r>
      <w:hyperlink r:id="rId5">
        <w:r>
          <w:rPr>
            <w:rStyle w:val="Hyperlink"/>
            <w:rFonts w:ascii="Times New Roman" w:hAnsi="Times New Roman"/>
            <w:b w:val="false"/>
            <w:i w:val="false"/>
            <w:color w:val="000000"/>
            <w:sz w:val="22"/>
          </w:rPr>
          <w:t>875—80.5(89)</w:t>
        </w:r>
      </w:hyperlink>
      <w:r>
        <w:rPr>
          <w:rFonts w:ascii="Times New Roman" w:hAnsi="Times New Roman"/>
          <w:b w:val="false"/>
          <w:i w:val="false"/>
          <w:color w:val="000000"/>
          <w:sz w:val="22"/>
        </w:rPr>
        <w:t>. A petition is deemed filed when it is received by the board office. The board office shall provide the petitioner with a file-stamped copy of the petition if the petitioner provides the board an extra copy for this purpose. The petition must be in writing and provide the following information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82.1(1)</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repeal a rule, a citation to and the relevant language of the particular portion or portions of the rule proposed to be amended or repealed.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82.1(2)</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board’s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82.1(3)</w:t>
      </w:r>
      <w:r>
        <w:rPr>
          <w:rFonts w:ascii="Times New Roman" w:hAnsi="Times New Roman"/>
          <w:b w:val="false"/>
          <w:i w:val="false"/>
          <w:color w:val="000000"/>
          <w:sz w:val="22"/>
        </w:rPr>
        <w:t> </w:t>
      </w:r>
      <w:r>
        <w:rPr>
          <w:rFonts w:ascii="Times New Roman" w:hAnsi="Times New Roman"/>
          <w:b w:val="false"/>
          <w:i w:val="false"/>
          <w:color w:val="000000"/>
          <w:sz w:val="22"/>
        </w:rPr>
        <w:t>A brief summary of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proposed action which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82.1(6)</w:t>
      </w:r>
      <w:r>
        <w:rPr>
          <w:rFonts w:ascii="Times New Roman" w:hAnsi="Times New Roman"/>
          <w:b w:val="false"/>
          <w:i w:val="false"/>
          <w:color w:val="000000"/>
          <w:sz w:val="22"/>
        </w:rPr>
        <w:t> </w:t>
      </w:r>
      <w:r>
        <w:rPr>
          <w:rFonts w:ascii="Times New Roman" w:hAnsi="Times New Roman"/>
          <w:b w:val="false"/>
          <w:i w:val="false"/>
          <w:color w:val="000000"/>
          <w:sz w:val="22"/>
        </w:rPr>
        <w:t>The petition must be dated and signed by the petitioner or the petitioner’s representative. The petition must also include the name, mailing address, and telephone number of the petitioner and petitioner’s representative, and a statement indicating the person to whom communications concerning the petition should be directed. If desired, the petition should also provide an email address and a statement that email is an acceptable method for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82.1(7)</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petition because it does not provide the required information.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9082B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 xml:space="preserve">; </w:t>
      </w:r>
      <w:r>
        <w:rPr>
          <w:rFonts w:ascii="Times New Roman" w:hAnsi="Times New Roman"/>
          <w:b/>
          <w:i w:val="false"/>
          <w:color w:val="000000"/>
          <w:sz w:val="16"/>
        </w:rPr>
        <w:t>ARC 3635C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iowaboilers.gov" Type="http://schemas.openxmlformats.org/officeDocument/2006/relationships/hyperlink" Id="rId4"/>
    <Relationship TargetMode="External" Target="https://www.legis.iowa.gov/docs/iac/rule/875.80.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