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17A.10 to 17A.18A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regarding contested case hearings shall apply to any petition for a waiver filed within a contested case and shall otherwise apply to board proceedings for a waiver only when the board so provides by order or is required to do so by statute.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0-18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