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Additional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Prior to issuing an order granting or denying a waiver, the board may request additional information from the petitioner relative to the petition and surrounding circumstances. If the petition was not filed in a contested case, the board may, on its own motion or at the petitioner’s request, schedule a telephonic or in-person meeting between the petitioner and a representative or representatives of the board related to the waiver request.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9082B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9/22/10, effective 10/27/10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